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B0F8" w14:textId="77777777" w:rsidR="009B4E3E" w:rsidRPr="00DF1EAB" w:rsidRDefault="009B4E3E" w:rsidP="00DF1EAB">
      <w:pPr>
        <w:spacing w:before="40" w:afterLines="40" w:after="96"/>
        <w:jc w:val="both"/>
        <w:rPr>
          <w:rFonts w:asciiTheme="minorHAnsi" w:hAnsiTheme="minorHAnsi" w:cstheme="minorHAnsi"/>
          <w:b/>
          <w:sz w:val="28"/>
          <w:szCs w:val="24"/>
          <w:lang w:val="en-US"/>
        </w:rPr>
      </w:pPr>
      <w:r w:rsidRPr="00DF1EAB">
        <w:rPr>
          <w:rFonts w:asciiTheme="minorHAnsi" w:hAnsiTheme="minorHAnsi" w:cstheme="minorHAnsi"/>
          <w:b/>
          <w:sz w:val="28"/>
          <w:szCs w:val="24"/>
        </w:rPr>
        <w:t>Project Summary for EPUAP website</w:t>
      </w:r>
    </w:p>
    <w:p w14:paraId="710FE533" w14:textId="101C5ACE" w:rsidR="0036041A" w:rsidRPr="0036041A" w:rsidRDefault="0036041A" w:rsidP="00DF1EAB">
      <w:pPr>
        <w:spacing w:after="0"/>
        <w:rPr>
          <w:rFonts w:asciiTheme="minorHAnsi" w:hAnsiTheme="minorHAnsi" w:cstheme="minorHAnsi"/>
          <w:sz w:val="24"/>
          <w:szCs w:val="24"/>
          <w:lang w:eastAsia="ja-JP"/>
        </w:rPr>
      </w:pPr>
      <w:r w:rsidRPr="0036041A">
        <w:rPr>
          <w:rFonts w:asciiTheme="minorHAnsi" w:eastAsia="Times New Roman" w:hAnsiTheme="minorHAnsi" w:cstheme="minorHAnsi"/>
          <w:b/>
          <w:bCs/>
          <w:sz w:val="28"/>
          <w:szCs w:val="28"/>
          <w:lang w:val="fr-FR" w:eastAsia="fr-FR"/>
        </w:rPr>
        <w:t xml:space="preserve">Project </w:t>
      </w:r>
      <w:proofErr w:type="spellStart"/>
      <w:proofErr w:type="gramStart"/>
      <w:r w:rsidRPr="0036041A">
        <w:rPr>
          <w:rFonts w:asciiTheme="minorHAnsi" w:eastAsia="Times New Roman" w:hAnsiTheme="minorHAnsi" w:cstheme="minorHAnsi"/>
          <w:b/>
          <w:bCs/>
          <w:sz w:val="28"/>
          <w:szCs w:val="28"/>
          <w:lang w:val="fr-FR" w:eastAsia="fr-FR"/>
        </w:rPr>
        <w:t>Title</w:t>
      </w:r>
      <w:proofErr w:type="spellEnd"/>
      <w:r w:rsidRPr="0036041A">
        <w:rPr>
          <w:rFonts w:asciiTheme="minorHAnsi" w:eastAsia="Times New Roman" w:hAnsiTheme="minorHAnsi" w:cstheme="minorHAnsi"/>
          <w:b/>
          <w:bCs/>
          <w:sz w:val="28"/>
          <w:szCs w:val="28"/>
          <w:lang w:val="fr-FR" w:eastAsia="fr-FR"/>
        </w:rPr>
        <w:t>:</w:t>
      </w:r>
      <w:proofErr w:type="gramEnd"/>
      <w:r w:rsidRPr="0036041A">
        <w:rPr>
          <w:rFonts w:asciiTheme="minorHAnsi" w:eastAsia="Times New Roman" w:hAnsiTheme="minorHAnsi" w:cstheme="minorHAnsi"/>
          <w:sz w:val="28"/>
          <w:szCs w:val="28"/>
          <w:lang w:val="fr-FR" w:eastAsia="fr-FR"/>
        </w:rPr>
        <w:br/>
      </w:r>
      <w:r w:rsidRPr="00DF1EAB">
        <w:rPr>
          <w:rFonts w:asciiTheme="minorHAnsi" w:eastAsia="Times New Roman" w:hAnsiTheme="minorHAnsi" w:cstheme="minorHAnsi"/>
          <w:sz w:val="24"/>
          <w:szCs w:val="24"/>
          <w:lang w:val="en-US" w:eastAsia="fr-FR"/>
        </w:rPr>
        <w:t xml:space="preserve">ASPECT: </w:t>
      </w:r>
      <w:proofErr w:type="spellStart"/>
      <w:r w:rsidRPr="00DF1EAB">
        <w:rPr>
          <w:rFonts w:asciiTheme="minorHAnsi" w:eastAsia="Times New Roman" w:hAnsiTheme="minorHAnsi" w:cstheme="minorHAnsi"/>
          <w:sz w:val="24"/>
          <w:szCs w:val="24"/>
          <w:lang w:val="en-US" w:eastAsia="fr-FR"/>
        </w:rPr>
        <w:t>Evalu</w:t>
      </w:r>
      <w:r w:rsidRPr="00DF1EAB">
        <w:rPr>
          <w:rFonts w:asciiTheme="minorHAnsi" w:eastAsia="Times New Roman" w:hAnsiTheme="minorHAnsi" w:cstheme="minorHAnsi"/>
          <w:color w:val="FF0000"/>
          <w:sz w:val="24"/>
          <w:szCs w:val="24"/>
          <w:lang w:val="en-US" w:eastAsia="fr-FR"/>
        </w:rPr>
        <w:t>A</w:t>
      </w:r>
      <w:r w:rsidRPr="00DF1EAB">
        <w:rPr>
          <w:rFonts w:asciiTheme="minorHAnsi" w:eastAsia="Times New Roman" w:hAnsiTheme="minorHAnsi" w:cstheme="minorHAnsi"/>
          <w:sz w:val="24"/>
          <w:szCs w:val="24"/>
          <w:lang w:val="en-US" w:eastAsia="fr-FR"/>
        </w:rPr>
        <w:t>tion</w:t>
      </w:r>
      <w:proofErr w:type="spellEnd"/>
      <w:r w:rsidRPr="00DF1EAB">
        <w:rPr>
          <w:rFonts w:asciiTheme="minorHAnsi" w:eastAsia="Times New Roman" w:hAnsiTheme="minorHAnsi" w:cstheme="minorHAnsi"/>
          <w:sz w:val="24"/>
          <w:szCs w:val="24"/>
          <w:lang w:val="en-US" w:eastAsia="fr-FR"/>
        </w:rPr>
        <w:t xml:space="preserve"> of </w:t>
      </w:r>
      <w:r w:rsidRPr="00DF1EAB">
        <w:rPr>
          <w:rFonts w:asciiTheme="minorHAnsi" w:eastAsia="Times New Roman" w:hAnsiTheme="minorHAnsi" w:cstheme="minorHAnsi"/>
          <w:color w:val="FF0000"/>
          <w:sz w:val="24"/>
          <w:szCs w:val="24"/>
          <w:lang w:val="en-US" w:eastAsia="fr-FR"/>
        </w:rPr>
        <w:t>S</w:t>
      </w:r>
      <w:r w:rsidRPr="00DF1EAB">
        <w:rPr>
          <w:rFonts w:asciiTheme="minorHAnsi" w:eastAsia="Times New Roman" w:hAnsiTheme="minorHAnsi" w:cstheme="minorHAnsi"/>
          <w:sz w:val="24"/>
          <w:szCs w:val="24"/>
          <w:lang w:val="en-US" w:eastAsia="fr-FR"/>
        </w:rPr>
        <w:t xml:space="preserve">oft tissues </w:t>
      </w:r>
      <w:r w:rsidRPr="00DF1EAB">
        <w:rPr>
          <w:rFonts w:asciiTheme="minorHAnsi" w:eastAsia="Times New Roman" w:hAnsiTheme="minorHAnsi" w:cstheme="minorHAnsi"/>
          <w:color w:val="FF0000"/>
          <w:sz w:val="24"/>
          <w:szCs w:val="24"/>
          <w:lang w:val="en-US" w:eastAsia="fr-FR"/>
        </w:rPr>
        <w:t>P</w:t>
      </w:r>
      <w:r w:rsidRPr="00DF1EAB">
        <w:rPr>
          <w:rFonts w:asciiTheme="minorHAnsi" w:eastAsia="Times New Roman" w:hAnsiTheme="minorHAnsi" w:cstheme="minorHAnsi"/>
          <w:sz w:val="24"/>
          <w:szCs w:val="24"/>
          <w:lang w:val="en-US" w:eastAsia="fr-FR"/>
        </w:rPr>
        <w:t xml:space="preserve">roperties in the context of </w:t>
      </w:r>
      <w:proofErr w:type="spellStart"/>
      <w:r w:rsidRPr="00DF1EAB">
        <w:rPr>
          <w:rFonts w:asciiTheme="minorHAnsi" w:eastAsia="Times New Roman" w:hAnsiTheme="minorHAnsi" w:cstheme="minorHAnsi"/>
          <w:sz w:val="24"/>
          <w:szCs w:val="24"/>
          <w:lang w:val="en-US" w:eastAsia="fr-FR"/>
        </w:rPr>
        <w:t>pr</w:t>
      </w:r>
      <w:r w:rsidRPr="00DF1EAB">
        <w:rPr>
          <w:rFonts w:asciiTheme="minorHAnsi" w:eastAsia="Times New Roman" w:hAnsiTheme="minorHAnsi" w:cstheme="minorHAnsi"/>
          <w:color w:val="FF0000"/>
          <w:sz w:val="24"/>
          <w:szCs w:val="24"/>
          <w:lang w:val="en-US" w:eastAsia="fr-FR"/>
        </w:rPr>
        <w:t>E</w:t>
      </w:r>
      <w:r w:rsidRPr="00DF1EAB">
        <w:rPr>
          <w:rFonts w:asciiTheme="minorHAnsi" w:eastAsia="Times New Roman" w:hAnsiTheme="minorHAnsi" w:cstheme="minorHAnsi"/>
          <w:sz w:val="24"/>
          <w:szCs w:val="24"/>
          <w:lang w:val="en-US" w:eastAsia="fr-FR"/>
        </w:rPr>
        <w:t>ssure</w:t>
      </w:r>
      <w:proofErr w:type="spellEnd"/>
      <w:r w:rsidRPr="00DF1EAB">
        <w:rPr>
          <w:rFonts w:asciiTheme="minorHAnsi" w:eastAsia="Times New Roman" w:hAnsiTheme="minorHAnsi" w:cstheme="minorHAnsi"/>
          <w:sz w:val="24"/>
          <w:szCs w:val="24"/>
          <w:lang w:val="en-US" w:eastAsia="fr-FR"/>
        </w:rPr>
        <w:t xml:space="preserve"> </w:t>
      </w:r>
      <w:proofErr w:type="spellStart"/>
      <w:r w:rsidRPr="00DF1EAB">
        <w:rPr>
          <w:rFonts w:asciiTheme="minorHAnsi" w:eastAsia="Times New Roman" w:hAnsiTheme="minorHAnsi" w:cstheme="minorHAnsi"/>
          <w:sz w:val="24"/>
          <w:szCs w:val="24"/>
          <w:lang w:val="en-US" w:eastAsia="fr-FR"/>
        </w:rPr>
        <w:t>ul</w:t>
      </w:r>
      <w:r w:rsidRPr="00DF1EAB">
        <w:rPr>
          <w:rFonts w:asciiTheme="minorHAnsi" w:eastAsia="Times New Roman" w:hAnsiTheme="minorHAnsi" w:cstheme="minorHAnsi"/>
          <w:color w:val="FF0000"/>
          <w:sz w:val="24"/>
          <w:szCs w:val="24"/>
          <w:lang w:val="en-US" w:eastAsia="fr-FR"/>
        </w:rPr>
        <w:t>C</w:t>
      </w:r>
      <w:r w:rsidRPr="00DF1EAB">
        <w:rPr>
          <w:rFonts w:asciiTheme="minorHAnsi" w:eastAsia="Times New Roman" w:hAnsiTheme="minorHAnsi" w:cstheme="minorHAnsi"/>
          <w:sz w:val="24"/>
          <w:szCs w:val="24"/>
          <w:lang w:val="en-US" w:eastAsia="fr-FR"/>
        </w:rPr>
        <w:t>er</w:t>
      </w:r>
      <w:proofErr w:type="spellEnd"/>
      <w:r w:rsidRPr="00DF1EAB">
        <w:rPr>
          <w:rFonts w:asciiTheme="minorHAnsi" w:eastAsia="Times New Roman" w:hAnsiTheme="minorHAnsi" w:cstheme="minorHAnsi"/>
          <w:sz w:val="24"/>
          <w:szCs w:val="24"/>
          <w:lang w:val="en-US" w:eastAsia="fr-FR"/>
        </w:rPr>
        <w:t xml:space="preserve"> </w:t>
      </w:r>
      <w:proofErr w:type="spellStart"/>
      <w:r w:rsidRPr="00DF1EAB">
        <w:rPr>
          <w:rFonts w:asciiTheme="minorHAnsi" w:eastAsia="Times New Roman" w:hAnsiTheme="minorHAnsi" w:cstheme="minorHAnsi"/>
          <w:sz w:val="24"/>
          <w:szCs w:val="24"/>
          <w:lang w:val="en-US" w:eastAsia="fr-FR"/>
        </w:rPr>
        <w:t>preven</w:t>
      </w:r>
      <w:r w:rsidRPr="00DF1EAB">
        <w:rPr>
          <w:rFonts w:asciiTheme="minorHAnsi" w:eastAsia="Times New Roman" w:hAnsiTheme="minorHAnsi" w:cstheme="minorHAnsi"/>
          <w:color w:val="FF0000"/>
          <w:sz w:val="24"/>
          <w:szCs w:val="24"/>
          <w:lang w:val="en-US" w:eastAsia="fr-FR"/>
        </w:rPr>
        <w:t>T</w:t>
      </w:r>
      <w:r w:rsidRPr="00DF1EAB">
        <w:rPr>
          <w:rFonts w:asciiTheme="minorHAnsi" w:eastAsia="Times New Roman" w:hAnsiTheme="minorHAnsi" w:cstheme="minorHAnsi"/>
          <w:sz w:val="24"/>
          <w:szCs w:val="24"/>
          <w:lang w:val="en-US" w:eastAsia="fr-FR"/>
        </w:rPr>
        <w:t>ion</w:t>
      </w:r>
      <w:proofErr w:type="spellEnd"/>
      <w:r w:rsidRPr="00DF1EAB">
        <w:rPr>
          <w:rFonts w:asciiTheme="minorHAnsi" w:eastAsia="Times New Roman" w:hAnsiTheme="minorHAnsi" w:cstheme="minorHAnsi"/>
          <w:sz w:val="24"/>
          <w:szCs w:val="24"/>
          <w:lang w:val="en-US" w:eastAsia="fr-FR"/>
        </w:rPr>
        <w:t xml:space="preserve"> in high-risk populations</w:t>
      </w:r>
    </w:p>
    <w:p w14:paraId="09D8B6A3" w14:textId="77777777" w:rsidR="0036041A" w:rsidRPr="0036041A" w:rsidRDefault="0036041A" w:rsidP="00DF1EAB">
      <w:pPr>
        <w:spacing w:before="100" w:beforeAutospacing="1" w:after="0"/>
        <w:rPr>
          <w:rFonts w:asciiTheme="minorHAnsi" w:eastAsia="Times New Roman" w:hAnsiTheme="minorHAnsi" w:cstheme="minorHAnsi"/>
          <w:sz w:val="28"/>
          <w:szCs w:val="28"/>
          <w:lang w:val="fr-FR" w:eastAsia="fr-FR"/>
        </w:rPr>
      </w:pPr>
      <w:r w:rsidRPr="0036041A">
        <w:rPr>
          <w:rFonts w:asciiTheme="minorHAnsi" w:eastAsia="Times New Roman" w:hAnsiTheme="minorHAnsi" w:cstheme="minorHAnsi"/>
          <w:b/>
          <w:bCs/>
          <w:sz w:val="28"/>
          <w:szCs w:val="28"/>
          <w:lang w:val="fr-FR" w:eastAsia="fr-FR"/>
        </w:rPr>
        <w:t xml:space="preserve">Project </w:t>
      </w:r>
      <w:proofErr w:type="gramStart"/>
      <w:r w:rsidRPr="0036041A">
        <w:rPr>
          <w:rFonts w:asciiTheme="minorHAnsi" w:eastAsia="Times New Roman" w:hAnsiTheme="minorHAnsi" w:cstheme="minorHAnsi"/>
          <w:b/>
          <w:bCs/>
          <w:sz w:val="28"/>
          <w:szCs w:val="28"/>
          <w:lang w:val="fr-FR" w:eastAsia="fr-FR"/>
        </w:rPr>
        <w:t>Team:</w:t>
      </w:r>
      <w:proofErr w:type="gramEnd"/>
    </w:p>
    <w:p w14:paraId="0EFAA448" w14:textId="77777777" w:rsidR="004E60ED" w:rsidRDefault="004E60ED" w:rsidP="004E60ED">
      <w:pPr>
        <w:spacing w:after="0" w:line="240" w:lineRule="auto"/>
        <w:jc w:val="both"/>
        <w:rPr>
          <w:rFonts w:eastAsia="Times New Roman" w:cstheme="minorHAnsi"/>
          <w:sz w:val="24"/>
          <w:szCs w:val="24"/>
          <w:lang w:val="en-US" w:eastAsia="fr-FR"/>
        </w:rPr>
      </w:pPr>
      <w:r>
        <w:rPr>
          <w:rFonts w:eastAsia="Times New Roman" w:cstheme="minorHAnsi"/>
          <w:sz w:val="24"/>
          <w:szCs w:val="24"/>
          <w:lang w:val="en-US" w:eastAsia="fr-FR"/>
        </w:rPr>
        <w:t>Geriatricians: Maher</w:t>
      </w:r>
      <w:r w:rsidRPr="00643808">
        <w:rPr>
          <w:rFonts w:eastAsia="Times New Roman" w:cstheme="minorHAnsi"/>
          <w:sz w:val="24"/>
          <w:szCs w:val="24"/>
          <w:lang w:val="en-US" w:eastAsia="fr-FR"/>
        </w:rPr>
        <w:t xml:space="preserve"> </w:t>
      </w:r>
      <w:r>
        <w:rPr>
          <w:rFonts w:eastAsia="Times New Roman" w:cstheme="minorHAnsi"/>
          <w:sz w:val="24"/>
          <w:szCs w:val="24"/>
          <w:lang w:val="en-US" w:eastAsia="fr-FR"/>
        </w:rPr>
        <w:t xml:space="preserve">ABOU KARAM; Amina LAHLOU; Fatma MAAZOUN </w:t>
      </w:r>
    </w:p>
    <w:p w14:paraId="407D0AE4" w14:textId="77777777" w:rsidR="004E60ED" w:rsidRDefault="004E60ED" w:rsidP="004E60ED">
      <w:pPr>
        <w:spacing w:after="0" w:line="240" w:lineRule="auto"/>
        <w:jc w:val="both"/>
        <w:rPr>
          <w:rFonts w:eastAsia="Times New Roman" w:cstheme="minorHAnsi"/>
          <w:sz w:val="24"/>
          <w:szCs w:val="24"/>
          <w:lang w:val="en-US" w:eastAsia="fr-FR"/>
        </w:rPr>
      </w:pPr>
      <w:r>
        <w:rPr>
          <w:rFonts w:eastAsia="Times New Roman" w:cstheme="minorHAnsi"/>
          <w:sz w:val="24"/>
          <w:szCs w:val="24"/>
          <w:lang w:val="en-US" w:eastAsia="fr-FR"/>
        </w:rPr>
        <w:t>Physical/occupational therapists: Reine MOGHAMES; Melvil JOYAUX</w:t>
      </w:r>
    </w:p>
    <w:p w14:paraId="1817912A" w14:textId="151BD8C7" w:rsidR="004E60ED" w:rsidRDefault="004E60ED" w:rsidP="004E60ED">
      <w:pPr>
        <w:spacing w:after="0" w:line="240" w:lineRule="auto"/>
        <w:jc w:val="both"/>
        <w:rPr>
          <w:rFonts w:eastAsia="Times New Roman" w:cstheme="minorHAnsi"/>
          <w:sz w:val="24"/>
          <w:szCs w:val="24"/>
          <w:lang w:val="en-US" w:eastAsia="fr-FR"/>
        </w:rPr>
      </w:pPr>
      <w:r>
        <w:rPr>
          <w:rFonts w:eastAsia="Times New Roman" w:cstheme="minorHAnsi"/>
          <w:sz w:val="24"/>
          <w:szCs w:val="24"/>
          <w:lang w:val="en-US" w:eastAsia="fr-FR"/>
        </w:rPr>
        <w:t>Biomechanical engineers/ academic advisors: Pierre Yves ROHAN; Claudio VERGARI</w:t>
      </w:r>
      <w:r w:rsidR="00493D39">
        <w:rPr>
          <w:rFonts w:eastAsia="Times New Roman" w:cstheme="minorHAnsi"/>
          <w:sz w:val="24"/>
          <w:szCs w:val="24"/>
          <w:lang w:val="en-US" w:eastAsia="fr-FR"/>
        </w:rPr>
        <w:t>, Hélène PILLET</w:t>
      </w:r>
    </w:p>
    <w:p w14:paraId="4930A9B2" w14:textId="77777777" w:rsidR="0036041A" w:rsidRPr="0036041A" w:rsidRDefault="0036041A" w:rsidP="00DF1EAB">
      <w:pPr>
        <w:spacing w:before="100" w:beforeAutospacing="1" w:after="100" w:afterAutospacing="1"/>
        <w:rPr>
          <w:rFonts w:asciiTheme="minorHAnsi" w:eastAsia="Times New Roman" w:hAnsiTheme="minorHAnsi" w:cstheme="minorHAnsi"/>
          <w:lang w:val="fr-FR" w:eastAsia="fr-FR"/>
        </w:rPr>
      </w:pPr>
      <w:r w:rsidRPr="0036041A">
        <w:rPr>
          <w:rFonts w:asciiTheme="minorHAnsi" w:eastAsia="Times New Roman" w:hAnsiTheme="minorHAnsi" w:cstheme="minorHAnsi"/>
          <w:b/>
          <w:bCs/>
          <w:sz w:val="28"/>
          <w:szCs w:val="28"/>
          <w:lang w:val="fr-FR" w:eastAsia="fr-FR"/>
        </w:rPr>
        <w:t xml:space="preserve">Project </w:t>
      </w:r>
      <w:proofErr w:type="gramStart"/>
      <w:r w:rsidRPr="0036041A">
        <w:rPr>
          <w:rFonts w:asciiTheme="minorHAnsi" w:eastAsia="Times New Roman" w:hAnsiTheme="minorHAnsi" w:cstheme="minorHAnsi"/>
          <w:b/>
          <w:bCs/>
          <w:sz w:val="28"/>
          <w:szCs w:val="28"/>
          <w:lang w:val="fr-FR" w:eastAsia="fr-FR"/>
        </w:rPr>
        <w:t>Focus:</w:t>
      </w:r>
      <w:proofErr w:type="gramEnd"/>
      <w:r w:rsidRPr="0036041A">
        <w:rPr>
          <w:rFonts w:asciiTheme="minorHAnsi" w:eastAsia="Times New Roman" w:hAnsiTheme="minorHAnsi" w:cstheme="minorHAnsi"/>
          <w:sz w:val="28"/>
          <w:szCs w:val="28"/>
          <w:lang w:val="fr-FR" w:eastAsia="fr-FR"/>
        </w:rPr>
        <w:br/>
      </w:r>
      <w:r w:rsidRPr="0036041A">
        <w:rPr>
          <w:rFonts w:asciiTheme="minorHAnsi" w:eastAsia="Times New Roman" w:hAnsiTheme="minorHAnsi" w:cstheme="minorHAnsi"/>
          <w:lang w:val="fr-FR" w:eastAsia="fr-FR"/>
        </w:rPr>
        <w:t xml:space="preserve">This </w:t>
      </w:r>
      <w:proofErr w:type="spellStart"/>
      <w:r w:rsidRPr="0036041A">
        <w:rPr>
          <w:rFonts w:asciiTheme="minorHAnsi" w:eastAsia="Times New Roman" w:hAnsiTheme="minorHAnsi" w:cstheme="minorHAnsi"/>
          <w:lang w:val="fr-FR" w:eastAsia="fr-FR"/>
        </w:rPr>
        <w:t>project</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focuses</w:t>
      </w:r>
      <w:proofErr w:type="spellEnd"/>
      <w:r w:rsidRPr="0036041A">
        <w:rPr>
          <w:rFonts w:asciiTheme="minorHAnsi" w:eastAsia="Times New Roman" w:hAnsiTheme="minorHAnsi" w:cstheme="minorHAnsi"/>
          <w:lang w:val="fr-FR" w:eastAsia="fr-FR"/>
        </w:rPr>
        <w:t xml:space="preserve"> on </w:t>
      </w:r>
      <w:proofErr w:type="spellStart"/>
      <w:r w:rsidRPr="0036041A">
        <w:rPr>
          <w:rFonts w:asciiTheme="minorHAnsi" w:eastAsia="Times New Roman" w:hAnsiTheme="minorHAnsi" w:cstheme="minorHAnsi"/>
          <w:lang w:val="fr-FR" w:eastAsia="fr-FR"/>
        </w:rPr>
        <w:t>improving</w:t>
      </w:r>
      <w:proofErr w:type="spellEnd"/>
      <w:r w:rsidRPr="0036041A">
        <w:rPr>
          <w:rFonts w:asciiTheme="minorHAnsi" w:eastAsia="Times New Roman" w:hAnsiTheme="minorHAnsi" w:cstheme="minorHAnsi"/>
          <w:lang w:val="fr-FR" w:eastAsia="fr-FR"/>
        </w:rPr>
        <w:t xml:space="preserve"> the </w:t>
      </w:r>
      <w:proofErr w:type="spellStart"/>
      <w:r w:rsidRPr="0036041A">
        <w:rPr>
          <w:rFonts w:asciiTheme="minorHAnsi" w:eastAsia="Times New Roman" w:hAnsiTheme="minorHAnsi" w:cstheme="minorHAnsi"/>
          <w:lang w:val="fr-FR" w:eastAsia="fr-FR"/>
        </w:rPr>
        <w:t>prevention</w:t>
      </w:r>
      <w:proofErr w:type="spellEnd"/>
      <w:r w:rsidRPr="0036041A">
        <w:rPr>
          <w:rFonts w:asciiTheme="minorHAnsi" w:eastAsia="Times New Roman" w:hAnsiTheme="minorHAnsi" w:cstheme="minorHAnsi"/>
          <w:lang w:val="fr-FR" w:eastAsia="fr-FR"/>
        </w:rPr>
        <w:t xml:space="preserve"> of pressure </w:t>
      </w:r>
      <w:proofErr w:type="spellStart"/>
      <w:r w:rsidRPr="0036041A">
        <w:rPr>
          <w:rFonts w:asciiTheme="minorHAnsi" w:eastAsia="Times New Roman" w:hAnsiTheme="minorHAnsi" w:cstheme="minorHAnsi"/>
          <w:lang w:val="fr-FR" w:eastAsia="fr-FR"/>
        </w:rPr>
        <w:t>ulcers</w:t>
      </w:r>
      <w:proofErr w:type="spellEnd"/>
      <w:r w:rsidRPr="0036041A">
        <w:rPr>
          <w:rFonts w:asciiTheme="minorHAnsi" w:eastAsia="Times New Roman" w:hAnsiTheme="minorHAnsi" w:cstheme="minorHAnsi"/>
          <w:lang w:val="fr-FR" w:eastAsia="fr-FR"/>
        </w:rPr>
        <w:t xml:space="preserve"> (PU) by </w:t>
      </w:r>
      <w:proofErr w:type="spellStart"/>
      <w:r w:rsidRPr="0036041A">
        <w:rPr>
          <w:rFonts w:asciiTheme="minorHAnsi" w:eastAsia="Times New Roman" w:hAnsiTheme="minorHAnsi" w:cstheme="minorHAnsi"/>
          <w:lang w:val="fr-FR" w:eastAsia="fr-FR"/>
        </w:rPr>
        <w:t>developing</w:t>
      </w:r>
      <w:proofErr w:type="spellEnd"/>
      <w:r w:rsidRPr="0036041A">
        <w:rPr>
          <w:rFonts w:asciiTheme="minorHAnsi" w:eastAsia="Times New Roman" w:hAnsiTheme="minorHAnsi" w:cstheme="minorHAnsi"/>
          <w:lang w:val="fr-FR" w:eastAsia="fr-FR"/>
        </w:rPr>
        <w:t xml:space="preserve"> a new </w:t>
      </w:r>
      <w:proofErr w:type="spellStart"/>
      <w:r w:rsidRPr="0036041A">
        <w:rPr>
          <w:rFonts w:asciiTheme="minorHAnsi" w:eastAsia="Times New Roman" w:hAnsiTheme="minorHAnsi" w:cstheme="minorHAnsi"/>
          <w:lang w:val="fr-FR" w:eastAsia="fr-FR"/>
        </w:rPr>
        <w:t>risk</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assessment</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protocol</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that</w:t>
      </w:r>
      <w:proofErr w:type="spellEnd"/>
      <w:r w:rsidRPr="0036041A">
        <w:rPr>
          <w:rFonts w:asciiTheme="minorHAnsi" w:eastAsia="Times New Roman" w:hAnsiTheme="minorHAnsi" w:cstheme="minorHAnsi"/>
          <w:lang w:val="fr-FR" w:eastAsia="fr-FR"/>
        </w:rPr>
        <w:t xml:space="preserve"> quantifies </w:t>
      </w:r>
      <w:proofErr w:type="spellStart"/>
      <w:r w:rsidRPr="0036041A">
        <w:rPr>
          <w:rFonts w:asciiTheme="minorHAnsi" w:eastAsia="Times New Roman" w:hAnsiTheme="minorHAnsi" w:cstheme="minorHAnsi"/>
          <w:lang w:val="fr-FR" w:eastAsia="fr-FR"/>
        </w:rPr>
        <w:t>several</w:t>
      </w:r>
      <w:proofErr w:type="spellEnd"/>
      <w:r w:rsidRPr="0036041A">
        <w:rPr>
          <w:rFonts w:asciiTheme="minorHAnsi" w:eastAsia="Times New Roman" w:hAnsiTheme="minorHAnsi" w:cstheme="minorHAnsi"/>
          <w:lang w:val="fr-FR" w:eastAsia="fr-FR"/>
        </w:rPr>
        <w:t xml:space="preserve"> PU </w:t>
      </w:r>
      <w:proofErr w:type="spellStart"/>
      <w:r w:rsidRPr="0036041A">
        <w:rPr>
          <w:rFonts w:asciiTheme="minorHAnsi" w:eastAsia="Times New Roman" w:hAnsiTheme="minorHAnsi" w:cstheme="minorHAnsi"/>
          <w:lang w:val="fr-FR" w:eastAsia="fr-FR"/>
        </w:rPr>
        <w:t>risk</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factors</w:t>
      </w:r>
      <w:proofErr w:type="spellEnd"/>
      <w:r w:rsidRPr="0036041A">
        <w:rPr>
          <w:rFonts w:asciiTheme="minorHAnsi" w:eastAsia="Times New Roman" w:hAnsiTheme="minorHAnsi" w:cstheme="minorHAnsi"/>
          <w:lang w:val="fr-FR" w:eastAsia="fr-FR"/>
        </w:rPr>
        <w:t xml:space="preserve"> in high-</w:t>
      </w:r>
      <w:proofErr w:type="spellStart"/>
      <w:r w:rsidRPr="0036041A">
        <w:rPr>
          <w:rFonts w:asciiTheme="minorHAnsi" w:eastAsia="Times New Roman" w:hAnsiTheme="minorHAnsi" w:cstheme="minorHAnsi"/>
          <w:lang w:val="fr-FR" w:eastAsia="fr-FR"/>
        </w:rPr>
        <w:t>risk</w:t>
      </w:r>
      <w:proofErr w:type="spellEnd"/>
      <w:r w:rsidRPr="0036041A">
        <w:rPr>
          <w:rFonts w:asciiTheme="minorHAnsi" w:eastAsia="Times New Roman" w:hAnsiTheme="minorHAnsi" w:cstheme="minorHAnsi"/>
          <w:lang w:val="fr-FR" w:eastAsia="fr-FR"/>
        </w:rPr>
        <w:t xml:space="preserve"> populations </w:t>
      </w:r>
      <w:proofErr w:type="spellStart"/>
      <w:r w:rsidRPr="0036041A">
        <w:rPr>
          <w:rFonts w:asciiTheme="minorHAnsi" w:eastAsia="Times New Roman" w:hAnsiTheme="minorHAnsi" w:cstheme="minorHAnsi"/>
          <w:lang w:val="fr-FR" w:eastAsia="fr-FR"/>
        </w:rPr>
        <w:t>such</w:t>
      </w:r>
      <w:proofErr w:type="spellEnd"/>
      <w:r w:rsidRPr="0036041A">
        <w:rPr>
          <w:rFonts w:asciiTheme="minorHAnsi" w:eastAsia="Times New Roman" w:hAnsiTheme="minorHAnsi" w:cstheme="minorHAnsi"/>
          <w:lang w:val="fr-FR" w:eastAsia="fr-FR"/>
        </w:rPr>
        <w:t xml:space="preserve"> as the </w:t>
      </w:r>
      <w:proofErr w:type="spellStart"/>
      <w:r w:rsidRPr="0036041A">
        <w:rPr>
          <w:rFonts w:asciiTheme="minorHAnsi" w:eastAsia="Times New Roman" w:hAnsiTheme="minorHAnsi" w:cstheme="minorHAnsi"/>
          <w:lang w:val="fr-FR" w:eastAsia="fr-FR"/>
        </w:rPr>
        <w:t>elderly</w:t>
      </w:r>
      <w:proofErr w:type="spellEnd"/>
      <w:r w:rsidRPr="0036041A">
        <w:rPr>
          <w:rFonts w:asciiTheme="minorHAnsi" w:eastAsia="Times New Roman" w:hAnsiTheme="minorHAnsi" w:cstheme="minorHAnsi"/>
          <w:lang w:val="fr-FR" w:eastAsia="fr-FR"/>
        </w:rPr>
        <w:t xml:space="preserve"> and spinal </w:t>
      </w:r>
      <w:proofErr w:type="spellStart"/>
      <w:r w:rsidRPr="0036041A">
        <w:rPr>
          <w:rFonts w:asciiTheme="minorHAnsi" w:eastAsia="Times New Roman" w:hAnsiTheme="minorHAnsi" w:cstheme="minorHAnsi"/>
          <w:lang w:val="fr-FR" w:eastAsia="fr-FR"/>
        </w:rPr>
        <w:t>cord</w:t>
      </w:r>
      <w:proofErr w:type="spellEnd"/>
      <w:r w:rsidRPr="0036041A">
        <w:rPr>
          <w:rFonts w:asciiTheme="minorHAnsi" w:eastAsia="Times New Roman" w:hAnsiTheme="minorHAnsi" w:cstheme="minorHAnsi"/>
          <w:lang w:val="fr-FR" w:eastAsia="fr-FR"/>
        </w:rPr>
        <w:t xml:space="preserve"> </w:t>
      </w:r>
      <w:proofErr w:type="spellStart"/>
      <w:r w:rsidRPr="0036041A">
        <w:rPr>
          <w:rFonts w:asciiTheme="minorHAnsi" w:eastAsia="Times New Roman" w:hAnsiTheme="minorHAnsi" w:cstheme="minorHAnsi"/>
          <w:lang w:val="fr-FR" w:eastAsia="fr-FR"/>
        </w:rPr>
        <w:t>injury</w:t>
      </w:r>
      <w:proofErr w:type="spellEnd"/>
      <w:r w:rsidRPr="0036041A">
        <w:rPr>
          <w:rFonts w:asciiTheme="minorHAnsi" w:eastAsia="Times New Roman" w:hAnsiTheme="minorHAnsi" w:cstheme="minorHAnsi"/>
          <w:lang w:val="fr-FR" w:eastAsia="fr-FR"/>
        </w:rPr>
        <w:t xml:space="preserve"> patients.</w:t>
      </w:r>
    </w:p>
    <w:p w14:paraId="6AEADF4A" w14:textId="323CC181" w:rsidR="0036041A" w:rsidRPr="004E60ED" w:rsidRDefault="0036041A" w:rsidP="004E60ED">
      <w:pPr>
        <w:pStyle w:val="NormalWeb"/>
        <w:spacing w:before="0" w:beforeAutospacing="0" w:after="120" w:afterAutospacing="0" w:line="276" w:lineRule="auto"/>
        <w:jc w:val="both"/>
        <w:rPr>
          <w:rFonts w:asciiTheme="minorHAnsi" w:hAnsiTheme="minorHAnsi" w:cstheme="minorHAnsi"/>
        </w:rPr>
      </w:pPr>
      <w:proofErr w:type="gramStart"/>
      <w:r w:rsidRPr="0036041A">
        <w:rPr>
          <w:rFonts w:asciiTheme="minorHAnsi" w:hAnsiTheme="minorHAnsi" w:cstheme="minorHAnsi"/>
          <w:b/>
          <w:bCs/>
          <w:sz w:val="28"/>
          <w:szCs w:val="28"/>
        </w:rPr>
        <w:t>Introduction:</w:t>
      </w:r>
      <w:proofErr w:type="gramEnd"/>
      <w:r w:rsidRPr="0036041A">
        <w:rPr>
          <w:rFonts w:asciiTheme="minorHAnsi" w:hAnsiTheme="minorHAnsi" w:cstheme="minorHAnsi"/>
          <w:b/>
          <w:bCs/>
          <w:sz w:val="28"/>
          <w:szCs w:val="28"/>
        </w:rPr>
        <w:br/>
      </w:r>
      <w:r w:rsidRPr="0036041A">
        <w:rPr>
          <w:rFonts w:asciiTheme="minorHAnsi" w:hAnsiTheme="minorHAnsi" w:cstheme="minorHAnsi"/>
          <w:sz w:val="22"/>
          <w:szCs w:val="22"/>
        </w:rPr>
        <w:t xml:space="preserve">Pressure </w:t>
      </w:r>
      <w:proofErr w:type="spellStart"/>
      <w:r w:rsidRPr="0036041A">
        <w:rPr>
          <w:rFonts w:asciiTheme="minorHAnsi" w:hAnsiTheme="minorHAnsi" w:cstheme="minorHAnsi"/>
          <w:sz w:val="22"/>
          <w:szCs w:val="22"/>
        </w:rPr>
        <w:t>ulcers</w:t>
      </w:r>
      <w:proofErr w:type="spellEnd"/>
      <w:r w:rsidRPr="0036041A">
        <w:rPr>
          <w:rFonts w:asciiTheme="minorHAnsi" w:hAnsiTheme="minorHAnsi" w:cstheme="minorHAnsi"/>
          <w:sz w:val="22"/>
          <w:szCs w:val="22"/>
        </w:rPr>
        <w:t xml:space="preserve"> are a </w:t>
      </w:r>
      <w:proofErr w:type="spellStart"/>
      <w:r w:rsidRPr="0036041A">
        <w:rPr>
          <w:rFonts w:asciiTheme="minorHAnsi" w:hAnsiTheme="minorHAnsi" w:cstheme="minorHAnsi"/>
          <w:sz w:val="22"/>
          <w:szCs w:val="22"/>
        </w:rPr>
        <w:t>significant</w:t>
      </w:r>
      <w:proofErr w:type="spellEnd"/>
      <w:r w:rsidRPr="0036041A">
        <w:rPr>
          <w:rFonts w:asciiTheme="minorHAnsi" w:hAnsiTheme="minorHAnsi" w:cstheme="minorHAnsi"/>
          <w:sz w:val="22"/>
          <w:szCs w:val="22"/>
        </w:rPr>
        <w:t xml:space="preserve"> global </w:t>
      </w:r>
      <w:proofErr w:type="spellStart"/>
      <w:r w:rsidRPr="0036041A">
        <w:rPr>
          <w:rFonts w:asciiTheme="minorHAnsi" w:hAnsiTheme="minorHAnsi" w:cstheme="minorHAnsi"/>
          <w:sz w:val="22"/>
          <w:szCs w:val="22"/>
        </w:rPr>
        <w:t>health</w:t>
      </w:r>
      <w:proofErr w:type="spellEnd"/>
      <w:r w:rsidRPr="0036041A">
        <w:rPr>
          <w:rFonts w:asciiTheme="minorHAnsi" w:hAnsiTheme="minorHAnsi" w:cstheme="minorHAnsi"/>
          <w:sz w:val="22"/>
          <w:szCs w:val="22"/>
        </w:rPr>
        <w:t xml:space="preserve"> </w:t>
      </w:r>
      <w:proofErr w:type="spellStart"/>
      <w:r w:rsidRPr="0036041A">
        <w:rPr>
          <w:rFonts w:asciiTheme="minorHAnsi" w:hAnsiTheme="minorHAnsi" w:cstheme="minorHAnsi"/>
          <w:sz w:val="22"/>
          <w:szCs w:val="22"/>
        </w:rPr>
        <w:t>concern</w:t>
      </w:r>
      <w:proofErr w:type="spellEnd"/>
      <w:r w:rsidRPr="0036041A">
        <w:rPr>
          <w:rFonts w:asciiTheme="minorHAnsi" w:hAnsiTheme="minorHAnsi" w:cstheme="minorHAnsi"/>
          <w:sz w:val="22"/>
          <w:szCs w:val="22"/>
        </w:rPr>
        <w:t xml:space="preserve">, </w:t>
      </w:r>
      <w:proofErr w:type="spellStart"/>
      <w:r w:rsidRPr="0036041A">
        <w:rPr>
          <w:rFonts w:asciiTheme="minorHAnsi" w:hAnsiTheme="minorHAnsi" w:cstheme="minorHAnsi"/>
          <w:sz w:val="22"/>
          <w:szCs w:val="22"/>
        </w:rPr>
        <w:t>particularly</w:t>
      </w:r>
      <w:proofErr w:type="spellEnd"/>
      <w:r w:rsidRPr="0036041A">
        <w:rPr>
          <w:rFonts w:asciiTheme="minorHAnsi" w:hAnsiTheme="minorHAnsi" w:cstheme="minorHAnsi"/>
          <w:sz w:val="22"/>
          <w:szCs w:val="22"/>
        </w:rPr>
        <w:t xml:space="preserve"> </w:t>
      </w:r>
      <w:proofErr w:type="spellStart"/>
      <w:r w:rsidRPr="0036041A">
        <w:rPr>
          <w:rFonts w:asciiTheme="minorHAnsi" w:hAnsiTheme="minorHAnsi" w:cstheme="minorHAnsi"/>
          <w:sz w:val="22"/>
          <w:szCs w:val="22"/>
        </w:rPr>
        <w:t>affecting</w:t>
      </w:r>
      <w:proofErr w:type="spellEnd"/>
      <w:r w:rsidRPr="0036041A">
        <w:rPr>
          <w:rFonts w:asciiTheme="minorHAnsi" w:hAnsiTheme="minorHAnsi" w:cstheme="minorHAnsi"/>
          <w:sz w:val="22"/>
          <w:szCs w:val="22"/>
        </w:rPr>
        <w:t xml:space="preserve"> </w:t>
      </w:r>
      <w:proofErr w:type="spellStart"/>
      <w:r w:rsidRPr="0036041A">
        <w:rPr>
          <w:rFonts w:asciiTheme="minorHAnsi" w:hAnsiTheme="minorHAnsi" w:cstheme="minorHAnsi"/>
          <w:sz w:val="22"/>
          <w:szCs w:val="22"/>
        </w:rPr>
        <w:t>elderly</w:t>
      </w:r>
      <w:proofErr w:type="spellEnd"/>
      <w:r w:rsidRPr="0036041A">
        <w:rPr>
          <w:rFonts w:asciiTheme="minorHAnsi" w:hAnsiTheme="minorHAnsi" w:cstheme="minorHAnsi"/>
          <w:sz w:val="22"/>
          <w:szCs w:val="22"/>
        </w:rPr>
        <w:t xml:space="preserve"> and immobile patients. </w:t>
      </w:r>
      <w:r w:rsidR="00DF1EAB" w:rsidRPr="00DF1EAB">
        <w:rPr>
          <w:rFonts w:asciiTheme="minorHAnsi" w:hAnsiTheme="minorHAnsi" w:cstheme="minorHAnsi"/>
          <w:color w:val="000000" w:themeColor="text1"/>
          <w:sz w:val="22"/>
          <w:szCs w:val="22"/>
          <w:lang w:val="en-US"/>
        </w:rPr>
        <w:t xml:space="preserve">The current standard of care in PU prevention is based on visual assessment of the skin in areas prone to </w:t>
      </w:r>
      <w:r w:rsidR="00DF1EAB" w:rsidRPr="004E60ED">
        <w:rPr>
          <w:rFonts w:asciiTheme="minorHAnsi" w:hAnsiTheme="minorHAnsi" w:cstheme="minorHAnsi"/>
          <w:sz w:val="22"/>
          <w:szCs w:val="22"/>
          <w:lang w:val="en-US"/>
        </w:rPr>
        <w:t xml:space="preserve">pressure injury combined with clinical risk assessment, which may include standardized scales such as the Norton, </w:t>
      </w:r>
      <w:proofErr w:type="spellStart"/>
      <w:r w:rsidR="00DF1EAB" w:rsidRPr="004E60ED">
        <w:rPr>
          <w:rFonts w:asciiTheme="minorHAnsi" w:hAnsiTheme="minorHAnsi" w:cstheme="minorHAnsi"/>
          <w:sz w:val="22"/>
          <w:szCs w:val="22"/>
          <w:lang w:val="en-US"/>
        </w:rPr>
        <w:t>Waterlow</w:t>
      </w:r>
      <w:proofErr w:type="spellEnd"/>
      <w:r w:rsidR="00DF1EAB" w:rsidRPr="004E60ED">
        <w:rPr>
          <w:rFonts w:asciiTheme="minorHAnsi" w:hAnsiTheme="minorHAnsi" w:cstheme="minorHAnsi"/>
          <w:sz w:val="22"/>
          <w:szCs w:val="22"/>
          <w:lang w:val="en-US"/>
        </w:rPr>
        <w:t xml:space="preserve"> and Braden scales. This approach has </w:t>
      </w:r>
      <w:r w:rsidR="00DF1EAB" w:rsidRPr="004E60ED">
        <w:rPr>
          <w:rFonts w:asciiTheme="minorHAnsi" w:hAnsiTheme="minorHAnsi" w:cstheme="minorHAnsi"/>
          <w:b/>
          <w:bCs/>
          <w:sz w:val="22"/>
          <w:szCs w:val="22"/>
          <w:lang w:val="en-US"/>
        </w:rPr>
        <w:t xml:space="preserve">several significant challenges, including inadequate reliability and predictive power, while critical thresholds for standardized risk scores vary across clinical care settings and/or patient populations. </w:t>
      </w:r>
      <w:r w:rsidR="00DF1EAB" w:rsidRPr="004E60ED">
        <w:rPr>
          <w:rFonts w:asciiTheme="minorHAnsi" w:hAnsiTheme="minorHAnsi" w:cstheme="minorHAnsi"/>
          <w:lang w:val="en-US"/>
        </w:rPr>
        <w:t xml:space="preserve">Recent research has highlighted the importance of </w:t>
      </w:r>
      <w:r w:rsidR="00DF1EAB" w:rsidRPr="004E60ED">
        <w:rPr>
          <w:rFonts w:asciiTheme="minorHAnsi" w:hAnsiTheme="minorHAnsi" w:cstheme="minorHAnsi"/>
          <w:b/>
          <w:bCs/>
          <w:lang w:val="en-US"/>
        </w:rPr>
        <w:t>local mechanical deformations</w:t>
      </w:r>
      <w:r w:rsidR="00DF1EAB" w:rsidRPr="004E60ED">
        <w:rPr>
          <w:rFonts w:asciiTheme="minorHAnsi" w:hAnsiTheme="minorHAnsi" w:cstheme="minorHAnsi"/>
          <w:lang w:val="en-US"/>
        </w:rPr>
        <w:t xml:space="preserve"> in the onset of PUs </w:t>
      </w:r>
      <w:r w:rsidR="00DF1EAB" w:rsidRPr="004E60ED">
        <w:rPr>
          <w:rFonts w:asciiTheme="minorHAnsi" w:hAnsiTheme="minorHAnsi" w:cstheme="minorHAnsi"/>
          <w:lang w:val="en-US"/>
        </w:rPr>
        <w:fldChar w:fldCharType="begin"/>
      </w:r>
      <w:r w:rsidR="00DF1EAB" w:rsidRPr="004E60ED">
        <w:rPr>
          <w:rFonts w:asciiTheme="minorHAnsi" w:hAnsiTheme="minorHAnsi" w:cstheme="minorHAnsi"/>
          <w:lang w:val="en-US"/>
        </w:rPr>
        <w:instrText xml:space="preserve"> ADDIN ZOTERO_ITEM CSL_CITATION {"citationID":"h9B7GRsJ","properties":{"formattedCitation":"(Gefen et al., 2021; Luboz et al., 2014; Stekelenburg et al., 2007)","plainCitation":"(Gefen et al., 2021; Luboz et al., 2014; Stekelenburg et al., 2007)","noteIndex":0},"citationItems":[{"id":"UctUzjNz/uHXc9img","uris":["http://zotero.org/users/local/ibkOSamO/items/5YRNUJPX"],"itemData":{"id":327,"type":"article-journal","abstract":"With 300,000 paraplegic persons only in France, ischial pressure ulcers represent a major public health issue. They result from the buttocks׳ soft tissues compression by the bony prominences. Unfortunately, the current clinical techniques, with - in the best case - embedded pressure sensor mats, are insufficient to prevent them because most are due to high internal strains which can occur even with low pressures at the skin surface. Therefore, improving prevention requires using a biomechanical model to estimate internal strains from skin surface pressures. However, the buttocks׳ soft tissues׳ stiffness is still unknown. This paper provides a stiffness sensitivity analysis using a finite element model. Different layers with distinct Neo Hookean materials simulate the skin, fat and muscles. With Young moduli in the range [100-500 kPa], [25-35 kPa], and [80-140 kPa] for the skin, fat, and muscles, respectively, maximum internal strains reach realistic 50 to 60% values. The fat and muscle stiffnesses have an important influence on the strain variations, while skin stiffness is less influent. Simulating different sitting postures and changing the muscle thickness also result in a variation in the internal strains.","container-title":"Journal of Biomechanics","DOI":"10.1016/j.jbiomech.2014.05.004","ISSN":"1873-2380","issue":"10","journalAbbreviation":"J Biomech","language":"eng","note":"number: 10\nPMID: 24873863","page":"2231-2236","source":"PubMed","title":"Biomechanical modeling to prevent ischial pressure ulcers","volume":"47","author":[{"family":"Luboz","given":"Vincent"},{"family":"Petrizelli","given":"Marion"},{"family":"Bucki","given":"Marek"},{"family":"Diot","given":"Bruno"},{"family":"Vuillerme","given":"Nicolas"},{"family":"Payan","given":"Yohan"}],"issued":{"date-parts":[["2014",7,18]]}}},{"id":"UctUzjNz/pzIk7Snb","uris":["http://zotero.org/users/local/ibkOSamO/items/B7NY67SW"],"itemData":{"id":297,"type":"article-journal","abstract":"A rat model was used to distinguish between the different factors that contribute to muscle tissue damage related to deep pressure ulcers that develop after compressive loading. The separate and combined effects of ischemia and deformation were studied. Loading was applied to the hindlimb of rats for 2 h. Muscle tissue was examined using MR imaging (MRI) and histology. An MR-compatible loading device allowed simultaneous loading and measurement of tissue status. Two separate loading protocols incorporated uniaxial loading, resulting in tissue compression and ischemic loading. Uniaxial loading was applied to the tibialis anterior by means of an indenter, and ischemic loading was accomplished with an inflatable tourniquet. Deformation of the muscle tissue during uniaxial loading was measured using MR tagging. Compression of the tissues for 2 h led to increased T2 values, which were correlated to necrotic regions in the tibialis anterior. Perfusion measurements, by means of contrast-enhanced MRI, indicated a large ischemic region during indentation. Pure ischemic loading for 2 h led to reversible tissue changes. From the MR-tagging experiments, local strain fields were calculated. A 4.5-mm deformation, corresponding to a surface pressure of 150 kPa, resulted in maximum shear strain up to 1.0. There was a good correlation between the location of damage and the location of high shear strain. It was concluded that the large deformations, in conjunction with ischemia, provided the main trigger for irreversible muscle damage.","container-title":"Journal of Applied Physiology","DOI":"10.1152/japplphysiol.01115.2006","ISSN":"8750-7587","issue":"5","note":"number: 5\npublisher: American Physiological Society","page":"2002-2011","source":"journals.physiology.org (Atypon)","title":"Role of ischemia and deformation in the onset of compression-induced deep tissue injury: MRI-based studies in a rat model","title-short":"Role of ischemia and deformation in the onset of compression-induced deep tissue injury","volume":"102","author":[{"family":"Stekelenburg","given":"Anke"},{"family":"Strijkers","given":"Gustav J."},{"family":"Parusel","given":"Henry"},{"family":"Bader","given":"Dan L."},{"family":"Nicolay","given":"Klaas"},{"family":"Oomens","given":"Cees W."}],"issued":{"date-parts":[["2007",5,1]]}}},{"id":"UctUzjNz/laPVzILj","uris":["http://zotero.org/users/local/ibkOSamO/items/YFQNM77X"],"itemData":{"id":1778,"type":"article-journal","abstract":"In 2019, the third and updated edition of the Clinical Practice Guideline (CPG) on Prevention and Treatment of Pressure Ulcers/Injuries has been published. In addition to this most up‐to‐date evidence‐based guidance for clinicians, related topics such as pressure ulcers (PUs)/pressure injuries (PIs) aetiology, classification, and future research needs were considered by the teams of experts. To elaborate on these topics, this is the third paper of a series of the CPG articles, which summarises the latest understanding of the aetiology of PUs/PIs with a special focus on the effects of soft tissue deformation. Sustained deformations of soft tissues cause initial cell death and tissue damage that ultimately may result in the formation of PUs/PIs. High tissue deformations result in cell damage on a microscopic level within just a few minutes, although it may take hours of sustained loading for the damage to become clinically visible. Superficial skin damage seems to be primarily caused by excessive shear strain/stress exposures, deeper PUs/PIs predominantly result from high pressures in combination with shear at the surface over bony prominences, or under stiff medical devices. Therefore, primary PU/PI prevention should aim for minimising deformations by either reducing the peak strain/stress values in tissues or decreasing the exposure time.","container-title":"International Wound Journal","DOI":"10.1111/iwj.13667","ISSN":"1742-4801","issue":"3","journalAbbreviation":"Int Wound J","note":"PMID: 34382331\nPMCID: PMC8874092","page":"692-704","source":"PubMed Central","title":"Our contemporary understanding of the aetiology of pressure ulcers/pressure injuries","volume":"19","author":[{"family":"Gefen","given":"Amit"},{"family":"Brienza","given":"David M."},{"family":"Cuddigan","given":"Janet"},{"family":"Haesler","given":"Emily"},{"family":"Kottner","given":"Jan"}],"issued":{"date-parts":[["2021",8,11]]}}}],"schema":"https://github.com/citation-style-language/schema/raw/master/csl-citation.json"} </w:instrText>
      </w:r>
      <w:r w:rsidR="00DF1EAB" w:rsidRPr="004E60ED">
        <w:rPr>
          <w:rFonts w:asciiTheme="minorHAnsi" w:hAnsiTheme="minorHAnsi" w:cstheme="minorHAnsi"/>
          <w:lang w:val="en-US"/>
        </w:rPr>
        <w:fldChar w:fldCharType="separate"/>
      </w:r>
      <w:r w:rsidR="00DF1EAB" w:rsidRPr="004E60ED">
        <w:rPr>
          <w:rFonts w:asciiTheme="minorHAnsi" w:hAnsiTheme="minorHAnsi" w:cstheme="minorHAnsi"/>
        </w:rPr>
        <w:t>(Gefen et al., 2021; Luboz et al., 2014; Stekelenburg et al., 2007)</w:t>
      </w:r>
      <w:r w:rsidR="00DF1EAB" w:rsidRPr="004E60ED">
        <w:rPr>
          <w:rFonts w:asciiTheme="minorHAnsi" w:hAnsiTheme="minorHAnsi" w:cstheme="minorHAnsi"/>
          <w:lang w:val="en-US"/>
        </w:rPr>
        <w:fldChar w:fldCharType="end"/>
      </w:r>
      <w:r w:rsidR="00DF1EAB" w:rsidRPr="004E60ED">
        <w:rPr>
          <w:rFonts w:asciiTheme="minorHAnsi" w:hAnsiTheme="minorHAnsi" w:cstheme="minorHAnsi"/>
          <w:lang w:val="en-US"/>
        </w:rPr>
        <w:t xml:space="preserve"> as well as </w:t>
      </w:r>
      <w:r w:rsidR="00DF1EAB" w:rsidRPr="004E60ED">
        <w:rPr>
          <w:rFonts w:asciiTheme="minorHAnsi" w:hAnsiTheme="minorHAnsi" w:cstheme="minorHAnsi"/>
          <w:b/>
          <w:bCs/>
          <w:lang w:val="en-US"/>
        </w:rPr>
        <w:t>tissue micro vascularization</w:t>
      </w:r>
      <w:r w:rsidR="00DF1EAB" w:rsidRPr="004E60ED">
        <w:rPr>
          <w:rFonts w:asciiTheme="minorHAnsi" w:hAnsiTheme="minorHAnsi" w:cstheme="minorHAnsi"/>
          <w:lang w:val="en-US"/>
        </w:rPr>
        <w:t xml:space="preserve"> and </w:t>
      </w:r>
      <w:r w:rsidR="00DF1EAB" w:rsidRPr="004E60ED">
        <w:rPr>
          <w:rFonts w:asciiTheme="minorHAnsi" w:hAnsiTheme="minorHAnsi" w:cstheme="minorHAnsi"/>
          <w:b/>
          <w:bCs/>
          <w:lang w:val="en-US"/>
        </w:rPr>
        <w:t>cellular changes</w:t>
      </w:r>
      <w:r w:rsidR="00DF1EAB" w:rsidRPr="004E60ED">
        <w:rPr>
          <w:rFonts w:asciiTheme="minorHAnsi" w:hAnsiTheme="minorHAnsi" w:cstheme="minorHAnsi"/>
          <w:lang w:val="en-US"/>
        </w:rPr>
        <w:t xml:space="preserve">, which are crucial predictors of PU </w:t>
      </w:r>
      <w:r w:rsidR="00DF1EAB" w:rsidRPr="004E60ED">
        <w:rPr>
          <w:rFonts w:asciiTheme="minorHAnsi" w:hAnsiTheme="minorHAnsi" w:cstheme="minorHAnsi"/>
          <w:lang w:val="en-US"/>
        </w:rPr>
        <w:fldChar w:fldCharType="begin"/>
      </w:r>
      <w:r w:rsidR="00DF1EAB" w:rsidRPr="004E60ED">
        <w:rPr>
          <w:rFonts w:asciiTheme="minorHAnsi" w:hAnsiTheme="minorHAnsi" w:cstheme="minorHAnsi"/>
          <w:lang w:val="en-US"/>
        </w:rPr>
        <w:instrText xml:space="preserve"> ADDIN ZOTERO_ITEM CSL_CITATION {"citationID":"gvboNAJN","properties":{"formattedCitation":"(Balasubramanian et al., 2021; del R\\uc0\\u237{}o-Sancho et al., 2023)","plainCitation":"(Balasubramanian et al., 2021; del Río-Sancho et al., 2023)","noteIndex":0},"citationItems":[{"id":"UctUzjNz/Twbjjgt9","uris":["http://zotero.org/users/local/ibkOSamO/items/62W7QNNR"],"itemData":{"id":1781,"type":"article-journal","abstract":"Diabetic foot syndrome is one of the most costly complications of diabetes. Damage to the soft tissue structure is one of the primary causes of diabetic foot ulcers and most of the current literature focuses on factors such as neuropathy and excessive load. Although the role of blood supply has been reported in the context of macro-circulation, soft tissue damage and its healing in the context of skin microcirculation have not been adequately investigated. Previous research suggested that certain microcirculatory responses protect the skin and their impairment may contribute to increased risk for occlusive and ischemic injuries to the foot. The purpose of this narrative review was to explore and establish the possible link between impairment in skin perfusion and the chain of events that leads to ulceration, considering the interaction with other more established ulceration factors. This review highlights some of the key skin microcirculatory functions in response to various stimuli. The microcirculatory responses observed in the form of altered skin blood flow are divided into three categories based on the type of stimuli including occlusion, pressure and temperature. Studies on the three categories were reviewed including: the microcirculatory response to occlusive ischemia or Post-Occlusive Reactive Hyperaemia (PORH); the microcirculatory response to locally applied pressure such as Pressure-Induced Vasodilation (PIV); and the interplay between microcirculation and skin temperature and the microcirculatory responses to thermal stimuli such as reduced/increased blood flow due to cooling/heating. This review highlights how microcirculatory responses protect the skin and the plantar soft tissues and their plausible dysfunction in people with diabetes. Whilst discussing the link between impairment in skin perfusion as a result of altered microcirculatory response, the review describes the chain of events that leads to ulceration. A thorough understanding of the microcirculatory function and its impaired reactive mechanisms is provided, which allows an understanding of the interaction between functional disturbances of microcirculation and other more established factors for foot ulceration.","container-title":"Frontiers in Bioengineering and Biotechnology","ISSN":"2296-4185","source":"Frontiers","title":"The Role of Cutaneous Microcirculatory Responses in Tissue Injury, Inflammation and Repair at the Foot in Diabetes","URL":"https://www.frontiersin.org/articles/10.3389/fbioe.2021.732753","volume":"9","author":[{"family":"Balasubramanian","given":"Gayathri Victoria"},{"family":"Chockalingam","given":"Nachiappan"},{"family":"Naemi","given":"Roozbeh"}],"accessed":{"date-parts":[["2024",2,27]]},"issued":{"date-parts":[["2021"]]}}},{"id":"UctUzjNz/FCcskjb5","uris":["http://zotero.org/users/local/ibkOSamO/items/PQQKPA85"],"itemData":{"id":1508,"type":"article-journal","abstract":"Background Several non-invasive skin imaging methods have been developed in recent years. Line-field confocal optical coherence tomography (LC-OCT) is one of them, leading to the best compromise in terms of resolution and penetration depth. Skin biopsies are an essential technique in paediatric dermatology, but they are a major stressful event for the child and their parents. Current LC-OCT studies have not been dedicated to a paediatric population. If, however, LC-OCT proves to be helpful in children, it may help guide and decrease a certain number of skin biopsies. Objectives (1) To evaluate the feasibility of using LC-OCT in paediatric patients, and (2) to assess the maturation of skin structures in children over time with this method. Methods In vivo LC-OCT images were collected on six specific body regions (forehead, forearm, chest, back, dorsum of the hand and palmar surface) and in six age groups (between the ages of 0 and 16 years). Results In all body areas and age groups assessed, 9 of 10 images were rated as good-to-excellent, the only exception were the images acquired on the palmar surface. LC-OCT allowed visualizing very well the skin structures up to a penetration of 500 μm. We observed that the body regions located on the upper extremities of the body (forearm, dorsum of the hand and palmar surface) showed both a maturation on their structure and differences in thickness with respect to the other regions evaluated. Conclusions LC-OCT can easily be used for non-invasive imaging of children's skin and allows to document progressive skin changes in the different age groups. It may be a useful asset for imaging and diagnosing superficial skin disorders and as such reducing the number of invasive procedures while increasing the speed of diagnosis in the paediatric population.","container-title":"Journal of the European Academy of Dermatology and Venereology","DOI":"10.1111/jdv.19163","ISSN":"1468-3083","issue":"9","language":"en","license":"© 2023 The Authors. Journal of the European Academy of Dermatology and Venereology published by John Wiley &amp; Sons Ltd on behalf of European Academy of Dermatology and Venereology.","note":"_eprint: https://onlinelibrary.wiley.com/doi/pdf/10.1111/jdv.19163","page":"1897-1905","source":"Wiley Online Library","title":"In vivo evaluation of skin of children with LC-OCT: An objective assessment","title-short":"In vivo evaluation of skin of children with LC-OCT","volume":"37","author":[{"family":"Río-Sancho","given":"S.","non-dropping-particle":"del"},{"family":"Gallay","given":"C."},{"family":"Ventéjou","given":"S."},{"family":"Christen-Zaech","given":"S."}],"issued":{"date-parts":[["2023"]]}}}],"schema":"https://github.com/citation-style-language/schema/raw/master/csl-citation.json"} </w:instrText>
      </w:r>
      <w:r w:rsidR="00DF1EAB" w:rsidRPr="004E60ED">
        <w:rPr>
          <w:rFonts w:asciiTheme="minorHAnsi" w:hAnsiTheme="minorHAnsi" w:cstheme="minorHAnsi"/>
          <w:lang w:val="en-US"/>
        </w:rPr>
        <w:fldChar w:fldCharType="separate"/>
      </w:r>
      <w:r w:rsidR="00DF1EAB" w:rsidRPr="004E60ED">
        <w:rPr>
          <w:rFonts w:asciiTheme="minorHAnsi" w:hAnsiTheme="minorHAnsi" w:cstheme="minorHAnsi"/>
        </w:rPr>
        <w:t>(Balasubramanian et al., 2021; del Río-Sancho et al., 2023)</w:t>
      </w:r>
      <w:r w:rsidR="00DF1EAB" w:rsidRPr="004E60ED">
        <w:rPr>
          <w:rFonts w:asciiTheme="minorHAnsi" w:hAnsiTheme="minorHAnsi" w:cstheme="minorHAnsi"/>
          <w:lang w:val="en-US"/>
        </w:rPr>
        <w:fldChar w:fldCharType="end"/>
      </w:r>
      <w:r w:rsidR="00DF1EAB" w:rsidRPr="004E60ED">
        <w:rPr>
          <w:rFonts w:asciiTheme="minorHAnsi" w:hAnsiTheme="minorHAnsi" w:cstheme="minorHAnsi"/>
          <w:lang w:val="en-US"/>
        </w:rPr>
        <w:t xml:space="preserve">. Several imaging technologies and tools have been proposed to quantify these factors, however most research was conducted on </w:t>
      </w:r>
      <w:r w:rsidR="00DF1EAB" w:rsidRPr="004E60ED">
        <w:rPr>
          <w:rFonts w:asciiTheme="minorHAnsi" w:hAnsiTheme="minorHAnsi" w:cstheme="minorHAnsi"/>
          <w:b/>
          <w:bCs/>
          <w:lang w:val="en-US"/>
        </w:rPr>
        <w:t>small samples</w:t>
      </w:r>
      <w:r w:rsidR="00DF1EAB" w:rsidRPr="004E60ED">
        <w:rPr>
          <w:rFonts w:asciiTheme="minorHAnsi" w:hAnsiTheme="minorHAnsi" w:cstheme="minorHAnsi"/>
          <w:lang w:val="en-US"/>
        </w:rPr>
        <w:t xml:space="preserve">, or only on </w:t>
      </w:r>
      <w:r w:rsidR="00DF1EAB" w:rsidRPr="004E60ED">
        <w:rPr>
          <w:rFonts w:asciiTheme="minorHAnsi" w:hAnsiTheme="minorHAnsi" w:cstheme="minorHAnsi"/>
          <w:b/>
          <w:bCs/>
          <w:lang w:val="en-US"/>
        </w:rPr>
        <w:t>healthy young subjects</w:t>
      </w:r>
      <w:r w:rsidR="00DF1EAB" w:rsidRPr="004E60ED">
        <w:rPr>
          <w:rFonts w:asciiTheme="minorHAnsi" w:hAnsiTheme="minorHAnsi" w:cstheme="minorHAnsi"/>
          <w:lang w:val="en-US"/>
        </w:rPr>
        <w:t xml:space="preserve">, or </w:t>
      </w:r>
      <w:r w:rsidR="00DF1EAB" w:rsidRPr="004E60ED">
        <w:rPr>
          <w:rFonts w:asciiTheme="minorHAnsi" w:hAnsiTheme="minorHAnsi" w:cstheme="minorHAnsi"/>
          <w:b/>
          <w:bCs/>
          <w:lang w:val="en-US"/>
        </w:rPr>
        <w:t>lacked follow up</w:t>
      </w:r>
      <w:r w:rsidR="00DF1EAB" w:rsidRPr="004E60ED">
        <w:rPr>
          <w:rFonts w:asciiTheme="minorHAnsi" w:hAnsiTheme="minorHAnsi" w:cstheme="minorHAnsi"/>
          <w:lang w:val="en-US"/>
        </w:rPr>
        <w:t xml:space="preserve"> for PU occurrence in order to really assess reliability.</w:t>
      </w:r>
    </w:p>
    <w:p w14:paraId="49783803" w14:textId="77777777" w:rsidR="0036041A" w:rsidRPr="00DF1EAB" w:rsidRDefault="0036041A" w:rsidP="005E2938">
      <w:pPr>
        <w:spacing w:after="0"/>
        <w:jc w:val="both"/>
        <w:rPr>
          <w:rFonts w:asciiTheme="minorHAnsi" w:eastAsia="Times New Roman" w:hAnsiTheme="minorHAnsi" w:cstheme="minorHAnsi"/>
          <w:b/>
          <w:bCs/>
          <w:sz w:val="28"/>
          <w:szCs w:val="28"/>
          <w:lang w:val="fr-FR" w:eastAsia="fr-FR"/>
        </w:rPr>
      </w:pPr>
      <w:r w:rsidRPr="0036041A">
        <w:rPr>
          <w:rFonts w:asciiTheme="minorHAnsi" w:eastAsia="Times New Roman" w:hAnsiTheme="minorHAnsi" w:cstheme="minorHAnsi"/>
          <w:b/>
          <w:bCs/>
          <w:sz w:val="28"/>
          <w:szCs w:val="28"/>
          <w:lang w:val="fr-FR" w:eastAsia="fr-FR"/>
        </w:rPr>
        <w:t xml:space="preserve">Project </w:t>
      </w:r>
      <w:proofErr w:type="gramStart"/>
      <w:r w:rsidRPr="0036041A">
        <w:rPr>
          <w:rFonts w:asciiTheme="minorHAnsi" w:eastAsia="Times New Roman" w:hAnsiTheme="minorHAnsi" w:cstheme="minorHAnsi"/>
          <w:b/>
          <w:bCs/>
          <w:sz w:val="28"/>
          <w:szCs w:val="28"/>
          <w:lang w:val="fr-FR" w:eastAsia="fr-FR"/>
        </w:rPr>
        <w:t>Aim:</w:t>
      </w:r>
      <w:proofErr w:type="gramEnd"/>
    </w:p>
    <w:p w14:paraId="1690774F" w14:textId="3635784A" w:rsidR="0036041A" w:rsidRPr="00DF1EAB" w:rsidRDefault="0036041A" w:rsidP="004E60ED">
      <w:pPr>
        <w:spacing w:after="0"/>
        <w:jc w:val="both"/>
        <w:rPr>
          <w:rFonts w:asciiTheme="minorHAnsi" w:hAnsiTheme="minorHAnsi" w:cstheme="minorHAnsi"/>
          <w:lang w:val="en-US"/>
        </w:rPr>
      </w:pPr>
      <w:r w:rsidRPr="00DF1EAB">
        <w:rPr>
          <w:rFonts w:asciiTheme="minorHAnsi" w:hAnsiTheme="minorHAnsi" w:cstheme="minorHAnsi"/>
          <w:lang w:val="en-US"/>
        </w:rPr>
        <w:t xml:space="preserve">ASPECT aims to </w:t>
      </w:r>
      <w:r w:rsidRPr="00DF1EAB">
        <w:rPr>
          <w:rFonts w:asciiTheme="minorHAnsi" w:hAnsiTheme="minorHAnsi" w:cstheme="minorHAnsi"/>
          <w:b/>
          <w:bCs/>
          <w:lang w:val="en-US"/>
        </w:rPr>
        <w:t>address the limitations of current risk assessment paradigms</w:t>
      </w:r>
      <w:r w:rsidRPr="00DF1EAB">
        <w:rPr>
          <w:rFonts w:asciiTheme="minorHAnsi" w:hAnsiTheme="minorHAnsi" w:cstheme="minorHAnsi"/>
          <w:lang w:val="en-US"/>
        </w:rPr>
        <w:t xml:space="preserve"> by creating and evaluating a risk assessment protocol that quantifies several PU </w:t>
      </w:r>
      <w:proofErr w:type="gramStart"/>
      <w:r w:rsidRPr="00DF1EAB">
        <w:rPr>
          <w:rFonts w:asciiTheme="minorHAnsi" w:hAnsiTheme="minorHAnsi" w:cstheme="minorHAnsi"/>
          <w:lang w:val="en-US"/>
        </w:rPr>
        <w:t>risk</w:t>
      </w:r>
      <w:proofErr w:type="gramEnd"/>
      <w:r w:rsidRPr="00DF1EAB">
        <w:rPr>
          <w:rFonts w:asciiTheme="minorHAnsi" w:hAnsiTheme="minorHAnsi" w:cstheme="minorHAnsi"/>
          <w:lang w:val="en-US"/>
        </w:rPr>
        <w:t xml:space="preserve"> factors in high-risk populations. The novelty of this project resides in</w:t>
      </w:r>
      <w:r w:rsidR="004E60ED">
        <w:rPr>
          <w:rFonts w:asciiTheme="minorHAnsi" w:hAnsiTheme="minorHAnsi" w:cstheme="minorHAnsi"/>
          <w:lang w:val="en-US"/>
        </w:rPr>
        <w:t xml:space="preserve"> a</w:t>
      </w:r>
      <w:r w:rsidRPr="00DF1EAB">
        <w:rPr>
          <w:rFonts w:asciiTheme="minorHAnsi" w:hAnsiTheme="minorHAnsi" w:cstheme="minorHAnsi"/>
          <w:lang w:val="en-US"/>
        </w:rPr>
        <w:t xml:space="preserve">ssessing a </w:t>
      </w:r>
      <w:r w:rsidRPr="00DF1EAB">
        <w:rPr>
          <w:rFonts w:asciiTheme="minorHAnsi" w:hAnsiTheme="minorHAnsi" w:cstheme="minorHAnsi"/>
          <w:b/>
          <w:bCs/>
          <w:lang w:val="en-US"/>
        </w:rPr>
        <w:t>large sample</w:t>
      </w:r>
      <w:r w:rsidRPr="00DF1EAB">
        <w:rPr>
          <w:rFonts w:asciiTheme="minorHAnsi" w:hAnsiTheme="minorHAnsi" w:cstheme="minorHAnsi"/>
          <w:lang w:val="en-US"/>
        </w:rPr>
        <w:t xml:space="preserve"> of high-risk subjects at </w:t>
      </w:r>
      <w:r w:rsidRPr="00DF1EAB">
        <w:rPr>
          <w:rFonts w:asciiTheme="minorHAnsi" w:hAnsiTheme="minorHAnsi" w:cstheme="minorHAnsi"/>
          <w:b/>
          <w:bCs/>
          <w:lang w:val="en-US"/>
        </w:rPr>
        <w:t>bedside</w:t>
      </w:r>
      <w:r w:rsidRPr="00DF1EAB">
        <w:rPr>
          <w:rFonts w:asciiTheme="minorHAnsi" w:hAnsiTheme="minorHAnsi" w:cstheme="minorHAnsi"/>
          <w:lang w:val="en-US"/>
        </w:rPr>
        <w:t xml:space="preserve"> in live clinical setting</w:t>
      </w:r>
      <w:r w:rsidR="004E60ED">
        <w:rPr>
          <w:rFonts w:asciiTheme="minorHAnsi" w:hAnsiTheme="minorHAnsi" w:cstheme="minorHAnsi"/>
          <w:lang w:val="en-US"/>
        </w:rPr>
        <w:t>, q</w:t>
      </w:r>
      <w:r w:rsidRPr="00DF1EAB">
        <w:rPr>
          <w:rFonts w:asciiTheme="minorHAnsi" w:hAnsiTheme="minorHAnsi" w:cstheme="minorHAnsi"/>
          <w:b/>
          <w:bCs/>
          <w:lang w:val="en-US"/>
        </w:rPr>
        <w:t>uantifying</w:t>
      </w:r>
      <w:r w:rsidRPr="00DF1EAB">
        <w:rPr>
          <w:rFonts w:asciiTheme="minorHAnsi" w:hAnsiTheme="minorHAnsi" w:cstheme="minorHAnsi"/>
          <w:lang w:val="en-US"/>
        </w:rPr>
        <w:t xml:space="preserve"> risk factors using specific </w:t>
      </w:r>
      <w:r w:rsidRPr="00DF1EAB">
        <w:rPr>
          <w:rFonts w:asciiTheme="minorHAnsi" w:hAnsiTheme="minorHAnsi" w:cstheme="minorHAnsi"/>
          <w:b/>
          <w:bCs/>
          <w:lang w:val="en-US"/>
        </w:rPr>
        <w:t>objective measurement</w:t>
      </w:r>
      <w:r w:rsidRPr="00DF1EAB">
        <w:rPr>
          <w:rFonts w:asciiTheme="minorHAnsi" w:hAnsiTheme="minorHAnsi" w:cstheme="minorHAnsi"/>
          <w:lang w:val="en-US"/>
        </w:rPr>
        <w:t xml:space="preserve"> tools and imaging tools</w:t>
      </w:r>
      <w:r w:rsidR="004E60ED">
        <w:rPr>
          <w:rFonts w:asciiTheme="minorHAnsi" w:hAnsiTheme="minorHAnsi" w:cstheme="minorHAnsi"/>
          <w:lang w:val="en-US"/>
        </w:rPr>
        <w:t xml:space="preserve">, </w:t>
      </w:r>
      <w:proofErr w:type="gramStart"/>
      <w:r w:rsidRPr="00DF1EAB">
        <w:rPr>
          <w:rFonts w:asciiTheme="minorHAnsi" w:hAnsiTheme="minorHAnsi" w:cstheme="minorHAnsi"/>
          <w:b/>
          <w:bCs/>
          <w:lang w:val="en-US"/>
        </w:rPr>
        <w:t>Integrating</w:t>
      </w:r>
      <w:proofErr w:type="gramEnd"/>
      <w:r w:rsidRPr="00DF1EAB">
        <w:rPr>
          <w:rFonts w:asciiTheme="minorHAnsi" w:hAnsiTheme="minorHAnsi" w:cstheme="minorHAnsi"/>
          <w:b/>
          <w:bCs/>
          <w:lang w:val="en-US"/>
        </w:rPr>
        <w:t xml:space="preserve"> clinical personnel</w:t>
      </w:r>
      <w:r w:rsidRPr="00DF1EAB">
        <w:rPr>
          <w:rFonts w:asciiTheme="minorHAnsi" w:hAnsiTheme="minorHAnsi" w:cstheme="minorHAnsi"/>
          <w:lang w:val="en-US"/>
        </w:rPr>
        <w:t xml:space="preserve"> in the process of evaluation</w:t>
      </w:r>
      <w:r w:rsidR="004E60ED">
        <w:rPr>
          <w:rFonts w:asciiTheme="minorHAnsi" w:hAnsiTheme="minorHAnsi" w:cstheme="minorHAnsi"/>
          <w:lang w:val="en-US"/>
        </w:rPr>
        <w:t xml:space="preserve"> and </w:t>
      </w:r>
      <w:r w:rsidRPr="00DF1EAB">
        <w:rPr>
          <w:rFonts w:asciiTheme="minorHAnsi" w:hAnsiTheme="minorHAnsi" w:cstheme="minorHAnsi"/>
          <w:b/>
          <w:bCs/>
          <w:lang w:val="en-US"/>
        </w:rPr>
        <w:t>Follow up</w:t>
      </w:r>
      <w:r w:rsidRPr="00DF1EAB">
        <w:rPr>
          <w:rFonts w:asciiTheme="minorHAnsi" w:hAnsiTheme="minorHAnsi" w:cstheme="minorHAnsi"/>
          <w:lang w:val="en-US"/>
        </w:rPr>
        <w:t xml:space="preserve"> patients for PU occurrence  </w:t>
      </w:r>
    </w:p>
    <w:p w14:paraId="3B8F460E" w14:textId="77777777" w:rsidR="0036041A" w:rsidRPr="0036041A" w:rsidRDefault="0036041A" w:rsidP="005E2938">
      <w:pPr>
        <w:spacing w:after="0"/>
        <w:jc w:val="both"/>
        <w:rPr>
          <w:rFonts w:asciiTheme="minorHAnsi" w:eastAsia="Times New Roman" w:hAnsiTheme="minorHAnsi" w:cstheme="minorHAnsi"/>
          <w:b/>
          <w:bCs/>
          <w:sz w:val="28"/>
          <w:szCs w:val="28"/>
          <w:lang w:val="fr-FR" w:eastAsia="fr-FR"/>
        </w:rPr>
      </w:pPr>
      <w:r w:rsidRPr="0036041A">
        <w:rPr>
          <w:rFonts w:asciiTheme="minorHAnsi" w:eastAsia="Times New Roman" w:hAnsiTheme="minorHAnsi" w:cstheme="minorHAnsi"/>
          <w:b/>
          <w:bCs/>
          <w:sz w:val="28"/>
          <w:szCs w:val="28"/>
          <w:lang w:val="fr-FR" w:eastAsia="fr-FR"/>
        </w:rPr>
        <w:t xml:space="preserve">Key </w:t>
      </w:r>
      <w:proofErr w:type="spellStart"/>
      <w:proofErr w:type="gramStart"/>
      <w:r w:rsidRPr="0036041A">
        <w:rPr>
          <w:rFonts w:asciiTheme="minorHAnsi" w:eastAsia="Times New Roman" w:hAnsiTheme="minorHAnsi" w:cstheme="minorHAnsi"/>
          <w:b/>
          <w:bCs/>
          <w:sz w:val="28"/>
          <w:szCs w:val="28"/>
          <w:lang w:val="fr-FR" w:eastAsia="fr-FR"/>
        </w:rPr>
        <w:t>Milestones</w:t>
      </w:r>
      <w:proofErr w:type="spellEnd"/>
      <w:r w:rsidRPr="0036041A">
        <w:rPr>
          <w:rFonts w:asciiTheme="minorHAnsi" w:eastAsia="Times New Roman" w:hAnsiTheme="minorHAnsi" w:cstheme="minorHAnsi"/>
          <w:b/>
          <w:bCs/>
          <w:sz w:val="28"/>
          <w:szCs w:val="28"/>
          <w:lang w:val="fr-FR" w:eastAsia="fr-FR"/>
        </w:rPr>
        <w:t>:</w:t>
      </w:r>
      <w:proofErr w:type="gramEnd"/>
    </w:p>
    <w:tbl>
      <w:tblPr>
        <w:tblStyle w:val="TableauGrille1Clair-Accentuation5"/>
        <w:tblW w:w="0" w:type="auto"/>
        <w:tblLook w:val="04A0" w:firstRow="1" w:lastRow="0" w:firstColumn="1" w:lastColumn="0" w:noHBand="0" w:noVBand="1"/>
      </w:tblPr>
      <w:tblGrid>
        <w:gridCol w:w="4814"/>
        <w:gridCol w:w="4814"/>
      </w:tblGrid>
      <w:tr w:rsidR="004E60ED" w:rsidRPr="00A96A19" w14:paraId="57BB62C9" w14:textId="77777777" w:rsidTr="00230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2E838E7" w14:textId="77777777" w:rsidR="004E60ED" w:rsidRPr="00A96A19" w:rsidRDefault="004E60ED" w:rsidP="00230FDC">
            <w:pPr>
              <w:spacing w:after="0" w:line="240" w:lineRule="auto"/>
              <w:jc w:val="both"/>
              <w:rPr>
                <w:szCs w:val="20"/>
                <w:lang w:val="en-US"/>
              </w:rPr>
            </w:pPr>
            <w:r w:rsidRPr="00A96A19">
              <w:rPr>
                <w:szCs w:val="20"/>
                <w:lang w:val="en-US"/>
              </w:rPr>
              <w:t>Milestone</w:t>
            </w:r>
          </w:p>
        </w:tc>
        <w:tc>
          <w:tcPr>
            <w:tcW w:w="4814" w:type="dxa"/>
          </w:tcPr>
          <w:p w14:paraId="31DBC904" w14:textId="77777777" w:rsidR="004E60ED" w:rsidRPr="00A96A19" w:rsidRDefault="004E60ED" w:rsidP="00230FDC">
            <w:pPr>
              <w:spacing w:after="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sidRPr="00A96A19">
              <w:rPr>
                <w:szCs w:val="20"/>
                <w:lang w:val="en-US"/>
              </w:rPr>
              <w:t>Status</w:t>
            </w:r>
          </w:p>
        </w:tc>
      </w:tr>
      <w:tr w:rsidR="004E60ED" w:rsidRPr="00A96A19" w14:paraId="7A1442DE" w14:textId="77777777" w:rsidTr="00230FDC">
        <w:tc>
          <w:tcPr>
            <w:cnfStyle w:val="001000000000" w:firstRow="0" w:lastRow="0" w:firstColumn="1" w:lastColumn="0" w:oddVBand="0" w:evenVBand="0" w:oddHBand="0" w:evenHBand="0" w:firstRowFirstColumn="0" w:firstRowLastColumn="0" w:lastRowFirstColumn="0" w:lastRowLastColumn="0"/>
            <w:tcW w:w="4814" w:type="dxa"/>
          </w:tcPr>
          <w:p w14:paraId="4AC9AC09" w14:textId="77777777" w:rsidR="004E60ED" w:rsidRPr="00A96A19" w:rsidRDefault="004E60ED" w:rsidP="00230FDC">
            <w:pPr>
              <w:spacing w:after="0" w:line="240" w:lineRule="auto"/>
              <w:jc w:val="both"/>
              <w:rPr>
                <w:szCs w:val="20"/>
                <w:lang w:val="en-US"/>
              </w:rPr>
            </w:pPr>
            <w:r w:rsidRPr="00A96A19">
              <w:rPr>
                <w:szCs w:val="20"/>
                <w:lang w:val="en-US"/>
              </w:rPr>
              <w:t>Ethical requirements</w:t>
            </w:r>
          </w:p>
        </w:tc>
        <w:tc>
          <w:tcPr>
            <w:tcW w:w="4814" w:type="dxa"/>
          </w:tcPr>
          <w:p w14:paraId="35D9A824" w14:textId="77777777" w:rsidR="004E60ED" w:rsidRPr="00A96A19" w:rsidRDefault="004E60ED" w:rsidP="00230FDC">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lang w:val="en-US"/>
              </w:rPr>
            </w:pPr>
            <w:r w:rsidRPr="00A96A19">
              <w:rPr>
                <w:szCs w:val="20"/>
                <w:lang w:val="en-US"/>
              </w:rPr>
              <w:t xml:space="preserve">Completed </w:t>
            </w:r>
          </w:p>
        </w:tc>
      </w:tr>
      <w:tr w:rsidR="004E60ED" w:rsidRPr="00A96A19" w14:paraId="55924B51" w14:textId="77777777" w:rsidTr="00230FDC">
        <w:tc>
          <w:tcPr>
            <w:cnfStyle w:val="001000000000" w:firstRow="0" w:lastRow="0" w:firstColumn="1" w:lastColumn="0" w:oddVBand="0" w:evenVBand="0" w:oddHBand="0" w:evenHBand="0" w:firstRowFirstColumn="0" w:firstRowLastColumn="0" w:lastRowFirstColumn="0" w:lastRowLastColumn="0"/>
            <w:tcW w:w="4814" w:type="dxa"/>
          </w:tcPr>
          <w:p w14:paraId="76563E06" w14:textId="77777777" w:rsidR="004E60ED" w:rsidRPr="00A96A19" w:rsidRDefault="004E60ED" w:rsidP="00230FDC">
            <w:pPr>
              <w:spacing w:after="0" w:line="240" w:lineRule="auto"/>
              <w:jc w:val="both"/>
              <w:rPr>
                <w:szCs w:val="20"/>
                <w:lang w:val="en-US"/>
              </w:rPr>
            </w:pPr>
            <w:r w:rsidRPr="00A96A19">
              <w:rPr>
                <w:szCs w:val="20"/>
                <w:lang w:val="en-US"/>
              </w:rPr>
              <w:t xml:space="preserve">Preliminary protocol definition </w:t>
            </w:r>
          </w:p>
        </w:tc>
        <w:tc>
          <w:tcPr>
            <w:tcW w:w="4814" w:type="dxa"/>
          </w:tcPr>
          <w:p w14:paraId="6596644A" w14:textId="77777777" w:rsidR="004E60ED" w:rsidRPr="00A96A19" w:rsidRDefault="004E60ED" w:rsidP="00230FDC">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lang w:val="en-US"/>
              </w:rPr>
            </w:pPr>
            <w:r w:rsidRPr="00A96A19">
              <w:rPr>
                <w:szCs w:val="20"/>
                <w:lang w:val="en-US"/>
              </w:rPr>
              <w:t>Completed</w:t>
            </w:r>
          </w:p>
        </w:tc>
      </w:tr>
      <w:tr w:rsidR="004E60ED" w:rsidRPr="00A96A19" w14:paraId="3A6FAD0F" w14:textId="77777777" w:rsidTr="00230FDC">
        <w:tc>
          <w:tcPr>
            <w:cnfStyle w:val="001000000000" w:firstRow="0" w:lastRow="0" w:firstColumn="1" w:lastColumn="0" w:oddVBand="0" w:evenVBand="0" w:oddHBand="0" w:evenHBand="0" w:firstRowFirstColumn="0" w:firstRowLastColumn="0" w:lastRowFirstColumn="0" w:lastRowLastColumn="0"/>
            <w:tcW w:w="4814" w:type="dxa"/>
          </w:tcPr>
          <w:p w14:paraId="6860337F" w14:textId="77777777" w:rsidR="004E60ED" w:rsidRPr="00A96A19" w:rsidRDefault="004E60ED" w:rsidP="00230FDC">
            <w:pPr>
              <w:spacing w:after="0" w:line="240" w:lineRule="auto"/>
              <w:jc w:val="both"/>
              <w:rPr>
                <w:szCs w:val="20"/>
                <w:lang w:val="en-US"/>
              </w:rPr>
            </w:pPr>
            <w:r w:rsidRPr="00A96A19">
              <w:rPr>
                <w:szCs w:val="20"/>
                <w:lang w:val="en-US"/>
              </w:rPr>
              <w:t>Preliminary protocol testing in lab and clinical care</w:t>
            </w:r>
          </w:p>
        </w:tc>
        <w:tc>
          <w:tcPr>
            <w:tcW w:w="4814" w:type="dxa"/>
          </w:tcPr>
          <w:p w14:paraId="4DA47D81" w14:textId="77777777" w:rsidR="004E60ED" w:rsidRPr="00A96A19" w:rsidRDefault="004E60ED" w:rsidP="00230FDC">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lang w:val="en-US"/>
              </w:rPr>
            </w:pPr>
            <w:r w:rsidRPr="00A96A19">
              <w:rPr>
                <w:szCs w:val="20"/>
                <w:lang w:val="en-US"/>
              </w:rPr>
              <w:t>In progress</w:t>
            </w:r>
          </w:p>
        </w:tc>
      </w:tr>
      <w:tr w:rsidR="004E60ED" w:rsidRPr="00A96A19" w14:paraId="4E311BE7" w14:textId="77777777" w:rsidTr="00230FDC">
        <w:tc>
          <w:tcPr>
            <w:cnfStyle w:val="001000000000" w:firstRow="0" w:lastRow="0" w:firstColumn="1" w:lastColumn="0" w:oddVBand="0" w:evenVBand="0" w:oddHBand="0" w:evenHBand="0" w:firstRowFirstColumn="0" w:firstRowLastColumn="0" w:lastRowFirstColumn="0" w:lastRowLastColumn="0"/>
            <w:tcW w:w="4814" w:type="dxa"/>
          </w:tcPr>
          <w:p w14:paraId="694EE134" w14:textId="77777777" w:rsidR="004E60ED" w:rsidRPr="00A96A19" w:rsidRDefault="004E60ED" w:rsidP="00230FDC">
            <w:pPr>
              <w:spacing w:after="0" w:line="240" w:lineRule="auto"/>
              <w:jc w:val="both"/>
              <w:rPr>
                <w:szCs w:val="20"/>
                <w:lang w:val="en-US"/>
              </w:rPr>
            </w:pPr>
            <w:r w:rsidRPr="00A96A19">
              <w:rPr>
                <w:szCs w:val="20"/>
                <w:lang w:val="en-US"/>
              </w:rPr>
              <w:t xml:space="preserve">Data collection </w:t>
            </w:r>
          </w:p>
        </w:tc>
        <w:tc>
          <w:tcPr>
            <w:tcW w:w="4814" w:type="dxa"/>
          </w:tcPr>
          <w:p w14:paraId="1222700B" w14:textId="2D7285FC" w:rsidR="004E60ED" w:rsidRPr="00A96A19" w:rsidRDefault="004E60ED" w:rsidP="00230FDC">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lang w:val="en-US"/>
              </w:rPr>
            </w:pPr>
            <w:r w:rsidRPr="00A96A19">
              <w:rPr>
                <w:szCs w:val="20"/>
                <w:lang w:val="en-US"/>
              </w:rPr>
              <w:t xml:space="preserve">Start: October 2024 End: </w:t>
            </w:r>
            <w:r>
              <w:rPr>
                <w:szCs w:val="20"/>
                <w:lang w:val="en-US"/>
              </w:rPr>
              <w:t>April</w:t>
            </w:r>
            <w:r w:rsidRPr="00A96A19">
              <w:rPr>
                <w:szCs w:val="20"/>
                <w:lang w:val="en-US"/>
              </w:rPr>
              <w:t xml:space="preserve"> 202</w:t>
            </w:r>
            <w:r>
              <w:rPr>
                <w:szCs w:val="20"/>
                <w:lang w:val="en-US"/>
              </w:rPr>
              <w:t>6</w:t>
            </w:r>
          </w:p>
        </w:tc>
      </w:tr>
      <w:tr w:rsidR="004E60ED" w:rsidRPr="00A96A19" w14:paraId="529904D8" w14:textId="77777777" w:rsidTr="00230FDC">
        <w:tc>
          <w:tcPr>
            <w:cnfStyle w:val="001000000000" w:firstRow="0" w:lastRow="0" w:firstColumn="1" w:lastColumn="0" w:oddVBand="0" w:evenVBand="0" w:oddHBand="0" w:evenHBand="0" w:firstRowFirstColumn="0" w:firstRowLastColumn="0" w:lastRowFirstColumn="0" w:lastRowLastColumn="0"/>
            <w:tcW w:w="4814" w:type="dxa"/>
          </w:tcPr>
          <w:p w14:paraId="4D0858D0" w14:textId="77777777" w:rsidR="004E60ED" w:rsidRPr="00A96A19" w:rsidRDefault="004E60ED" w:rsidP="00230FDC">
            <w:pPr>
              <w:spacing w:after="0" w:line="240" w:lineRule="auto"/>
              <w:jc w:val="both"/>
              <w:rPr>
                <w:szCs w:val="20"/>
                <w:lang w:val="en-US"/>
              </w:rPr>
            </w:pPr>
            <w:r w:rsidRPr="00A96A19">
              <w:rPr>
                <w:szCs w:val="20"/>
                <w:lang w:val="en-US"/>
              </w:rPr>
              <w:t>Data analysis</w:t>
            </w:r>
          </w:p>
        </w:tc>
        <w:tc>
          <w:tcPr>
            <w:tcW w:w="4814" w:type="dxa"/>
          </w:tcPr>
          <w:p w14:paraId="544412FB" w14:textId="6F5A1841" w:rsidR="004E60ED" w:rsidRPr="00A96A19" w:rsidRDefault="004E60ED" w:rsidP="00230FDC">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lang w:val="en-US"/>
              </w:rPr>
            </w:pPr>
            <w:r w:rsidRPr="00A96A19">
              <w:rPr>
                <w:szCs w:val="20"/>
                <w:lang w:val="en-US"/>
              </w:rPr>
              <w:t>Start: April 2025 End: August 202</w:t>
            </w:r>
            <w:r>
              <w:rPr>
                <w:szCs w:val="20"/>
                <w:lang w:val="en-US"/>
              </w:rPr>
              <w:t>6</w:t>
            </w:r>
          </w:p>
        </w:tc>
      </w:tr>
    </w:tbl>
    <w:p w14:paraId="05FC8DFD" w14:textId="441CEB0F" w:rsidR="0036041A" w:rsidRPr="0036041A" w:rsidRDefault="0036041A" w:rsidP="00DF1EAB">
      <w:pPr>
        <w:jc w:val="both"/>
        <w:rPr>
          <w:rFonts w:asciiTheme="minorHAnsi" w:eastAsia="Times New Roman" w:hAnsiTheme="minorHAnsi" w:cstheme="minorHAnsi"/>
          <w:b/>
          <w:bCs/>
          <w:sz w:val="28"/>
          <w:szCs w:val="28"/>
          <w:lang w:val="fr-FR" w:eastAsia="fr-FR"/>
        </w:rPr>
      </w:pPr>
      <w:proofErr w:type="spellStart"/>
      <w:proofErr w:type="gramStart"/>
      <w:r w:rsidRPr="0036041A">
        <w:rPr>
          <w:rFonts w:asciiTheme="minorHAnsi" w:eastAsia="Times New Roman" w:hAnsiTheme="minorHAnsi" w:cstheme="minorHAnsi"/>
          <w:b/>
          <w:bCs/>
          <w:sz w:val="28"/>
          <w:szCs w:val="28"/>
          <w:lang w:val="fr-FR" w:eastAsia="fr-FR"/>
        </w:rPr>
        <w:lastRenderedPageBreak/>
        <w:t>References</w:t>
      </w:r>
      <w:proofErr w:type="spellEnd"/>
      <w:r w:rsidRPr="0036041A">
        <w:rPr>
          <w:rFonts w:asciiTheme="minorHAnsi" w:eastAsia="Times New Roman" w:hAnsiTheme="minorHAnsi" w:cstheme="minorHAnsi"/>
          <w:b/>
          <w:bCs/>
          <w:sz w:val="28"/>
          <w:szCs w:val="28"/>
          <w:lang w:val="fr-FR" w:eastAsia="fr-FR"/>
        </w:rPr>
        <w:t>:</w:t>
      </w:r>
      <w:proofErr w:type="gramEnd"/>
    </w:p>
    <w:p w14:paraId="5EF0FD6A" w14:textId="77777777" w:rsidR="00DF1EAB" w:rsidRPr="00DF1EAB" w:rsidRDefault="00DF1EAB" w:rsidP="00DF1EAB">
      <w:pPr>
        <w:pStyle w:val="Bibliographie"/>
        <w:rPr>
          <w:rFonts w:cs="Calibri"/>
          <w:sz w:val="20"/>
        </w:rPr>
      </w:pPr>
      <w:r>
        <w:rPr>
          <w:rFonts w:asciiTheme="minorHAnsi" w:hAnsiTheme="minorHAnsi" w:cstheme="minorHAnsi"/>
          <w:sz w:val="20"/>
          <w:szCs w:val="20"/>
          <w:lang w:val="en-US"/>
        </w:rPr>
        <w:fldChar w:fldCharType="begin"/>
      </w:r>
      <w:r>
        <w:rPr>
          <w:rFonts w:asciiTheme="minorHAnsi" w:hAnsiTheme="minorHAnsi" w:cstheme="minorHAnsi"/>
          <w:sz w:val="20"/>
          <w:szCs w:val="20"/>
          <w:lang w:val="en-US"/>
        </w:rPr>
        <w:instrText xml:space="preserve"> ADDIN ZOTERO_BIBL {"uncited":[],"omitted":[],"custom":[]} CSL_BIBLIOGRAPHY </w:instrText>
      </w:r>
      <w:r>
        <w:rPr>
          <w:rFonts w:asciiTheme="minorHAnsi" w:hAnsiTheme="minorHAnsi" w:cstheme="minorHAnsi"/>
          <w:sz w:val="20"/>
          <w:szCs w:val="20"/>
          <w:lang w:val="en-US"/>
        </w:rPr>
        <w:fldChar w:fldCharType="separate"/>
      </w:r>
      <w:r w:rsidRPr="00DF1EAB">
        <w:rPr>
          <w:rFonts w:cs="Calibri"/>
          <w:sz w:val="20"/>
        </w:rPr>
        <w:t>Balasubramanian, G.V., Chockalingam, N., Naemi, R., 2021. The Role of Cutaneous Microcirculatory Responses in Tissue Injury, Inflammation and Repair at the Foot in Diabetes. Frontiers in Bioengineering and Biotechnology 9.</w:t>
      </w:r>
    </w:p>
    <w:p w14:paraId="5E36AABD" w14:textId="711B60C2" w:rsidR="00DF1EAB" w:rsidRPr="00DF1EAB" w:rsidRDefault="00DF1EAB" w:rsidP="00DF1EAB">
      <w:pPr>
        <w:pStyle w:val="Bibliographie"/>
        <w:rPr>
          <w:rFonts w:cs="Calibri"/>
          <w:sz w:val="20"/>
        </w:rPr>
      </w:pPr>
      <w:r w:rsidRPr="00DF1EAB">
        <w:rPr>
          <w:rFonts w:cs="Calibri"/>
          <w:sz w:val="20"/>
        </w:rPr>
        <w:t>del Río-Sancho, S., Gallay, C., Ventéjou, S., Christen-Zaech, S., 2023. In vivo evaluation of skin of children with LC-OCT: An objective assessment. Journal of the European Academy of Dermatology and Venereology 37, 1897–1905. https://doi.org/10.1111/jdv.19163</w:t>
      </w:r>
      <w:r w:rsidR="00881ABD">
        <w:rPr>
          <w:rFonts w:cs="Calibri"/>
          <w:sz w:val="20"/>
        </w:rPr>
        <w:t xml:space="preserve"> </w:t>
      </w:r>
    </w:p>
    <w:p w14:paraId="72410FB1" w14:textId="77777777" w:rsidR="00DF1EAB" w:rsidRPr="00DF1EAB" w:rsidRDefault="00DF1EAB" w:rsidP="00DF1EAB">
      <w:pPr>
        <w:pStyle w:val="Bibliographie"/>
        <w:rPr>
          <w:rFonts w:cs="Calibri"/>
          <w:sz w:val="20"/>
        </w:rPr>
      </w:pPr>
      <w:r w:rsidRPr="00DF1EAB">
        <w:rPr>
          <w:rFonts w:cs="Calibri"/>
          <w:sz w:val="20"/>
        </w:rPr>
        <w:t>Gefen, A., Brienza, D.M., Cuddigan, J., Haesler, E., Kottner, J., 2021. Our contemporary understanding of the aetiology of pressure ulcers/pressure injuries. Int Wound J 19, 692–704. https://doi.org/10.1111/iwj.13667</w:t>
      </w:r>
    </w:p>
    <w:p w14:paraId="4503DCE1" w14:textId="77777777" w:rsidR="00DF1EAB" w:rsidRPr="00DF1EAB" w:rsidRDefault="00DF1EAB" w:rsidP="00DF1EAB">
      <w:pPr>
        <w:pStyle w:val="Bibliographie"/>
        <w:rPr>
          <w:rFonts w:cs="Calibri"/>
          <w:sz w:val="20"/>
        </w:rPr>
      </w:pPr>
      <w:r w:rsidRPr="00DF1EAB">
        <w:rPr>
          <w:rFonts w:cs="Calibri"/>
          <w:sz w:val="20"/>
        </w:rPr>
        <w:t>Luboz, V., Petrizelli, M., Bucki, M., Diot, B., Vuillerme, N., Payan, Y., 2014. Biomechanical modeling to prevent ischial pressure ulcers. J Biomech 47, 2231–2236. https://doi.org/10.1016/j.jbiomech.2014.05.004</w:t>
      </w:r>
    </w:p>
    <w:p w14:paraId="403D8D03" w14:textId="77777777" w:rsidR="00DF1EAB" w:rsidRPr="00DF1EAB" w:rsidRDefault="00DF1EAB" w:rsidP="00DF1EAB">
      <w:pPr>
        <w:pStyle w:val="Bibliographie"/>
        <w:rPr>
          <w:rFonts w:cs="Calibri"/>
          <w:sz w:val="20"/>
        </w:rPr>
      </w:pPr>
      <w:r w:rsidRPr="00DF1EAB">
        <w:rPr>
          <w:rFonts w:cs="Calibri"/>
          <w:sz w:val="20"/>
        </w:rPr>
        <w:t>Stekelenburg, A., Strijkers, G.J., Parusel, H., Bader, D.L., Nicolay, K., Oomens, C.W., 2007. Role of ischemia and deformation in the onset of compression-induced deep tissue injury: MRI-based studies in a rat model. Journal of Applied Physiology 102, 2002–2011. https://doi.org/10.1152/japplphysiol.01115.2006</w:t>
      </w:r>
    </w:p>
    <w:p w14:paraId="61FBD697" w14:textId="39E0D943" w:rsidR="009B4E3E" w:rsidRPr="00DF1EAB" w:rsidRDefault="00DF1EAB" w:rsidP="00DF1EAB">
      <w:pPr>
        <w:jc w:val="both"/>
        <w:rPr>
          <w:rFonts w:asciiTheme="minorHAnsi" w:hAnsiTheme="minorHAnsi" w:cstheme="minorHAnsi"/>
          <w:sz w:val="20"/>
          <w:szCs w:val="20"/>
          <w:lang w:val="en-US"/>
        </w:rPr>
      </w:pPr>
      <w:r>
        <w:rPr>
          <w:rFonts w:asciiTheme="minorHAnsi" w:hAnsiTheme="minorHAnsi" w:cstheme="minorHAnsi"/>
          <w:sz w:val="20"/>
          <w:szCs w:val="20"/>
          <w:lang w:val="en-US"/>
        </w:rPr>
        <w:fldChar w:fldCharType="end"/>
      </w:r>
    </w:p>
    <w:p w14:paraId="156443F0" w14:textId="77777777" w:rsidR="00CC271F" w:rsidRPr="00DF1EAB" w:rsidRDefault="00CC271F" w:rsidP="00DF1EAB">
      <w:pPr>
        <w:jc w:val="both"/>
        <w:rPr>
          <w:rFonts w:asciiTheme="minorHAnsi" w:hAnsiTheme="minorHAnsi" w:cstheme="minorHAnsi"/>
          <w:sz w:val="20"/>
          <w:szCs w:val="20"/>
        </w:rPr>
      </w:pPr>
    </w:p>
    <w:sectPr w:rsidR="00CC271F" w:rsidRPr="00DF1EAB" w:rsidSect="005E2938">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6D2"/>
    <w:multiLevelType w:val="hybridMultilevel"/>
    <w:tmpl w:val="FD7400EC"/>
    <w:lvl w:ilvl="0" w:tplc="C4BAA96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327AE4"/>
    <w:multiLevelType w:val="hybridMultilevel"/>
    <w:tmpl w:val="87A2B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97F15"/>
    <w:multiLevelType w:val="hybridMultilevel"/>
    <w:tmpl w:val="3B0A3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1683B"/>
    <w:multiLevelType w:val="multilevel"/>
    <w:tmpl w:val="D58CE5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81C7D15"/>
    <w:multiLevelType w:val="multilevel"/>
    <w:tmpl w:val="D93C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3F719B"/>
    <w:multiLevelType w:val="hybridMultilevel"/>
    <w:tmpl w:val="C1C2D7B0"/>
    <w:lvl w:ilvl="0" w:tplc="55DC3C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914F87"/>
    <w:multiLevelType w:val="hybridMultilevel"/>
    <w:tmpl w:val="85AC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51827"/>
    <w:multiLevelType w:val="multilevel"/>
    <w:tmpl w:val="6A82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15FE8"/>
    <w:multiLevelType w:val="hybridMultilevel"/>
    <w:tmpl w:val="474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4"/>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C0MDQ1N7Q0tDRT0lEKTi0uzszPAykwrAUAv38ehywAAAA="/>
  </w:docVars>
  <w:rsids>
    <w:rsidRoot w:val="009B4E3E"/>
    <w:rsid w:val="00054ADE"/>
    <w:rsid w:val="000D473E"/>
    <w:rsid w:val="00152D49"/>
    <w:rsid w:val="00262141"/>
    <w:rsid w:val="0036041A"/>
    <w:rsid w:val="00493D39"/>
    <w:rsid w:val="004E60ED"/>
    <w:rsid w:val="005E2938"/>
    <w:rsid w:val="006B12AA"/>
    <w:rsid w:val="007B51BB"/>
    <w:rsid w:val="00881ABD"/>
    <w:rsid w:val="009B4E3E"/>
    <w:rsid w:val="00BD3DED"/>
    <w:rsid w:val="00CC271F"/>
    <w:rsid w:val="00CD0D1D"/>
    <w:rsid w:val="00DF1EAB"/>
    <w:rsid w:val="00F13B77"/>
    <w:rsid w:val="00F276DD"/>
    <w:rsid w:val="00F77B9E"/>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675D"/>
  <w15:chartTrackingRefBased/>
  <w15:docId w15:val="{47211765-584C-4D4A-BC0D-6716D1D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9B4E3E"/>
    <w:pPr>
      <w:keepNext/>
      <w:keepLines/>
      <w:spacing w:before="240" w:after="0" w:line="259" w:lineRule="auto"/>
      <w:outlineLvl w:val="0"/>
    </w:pPr>
    <w:rPr>
      <w:rFonts w:ascii="Calibri Light" w:eastAsia="Times New Roman" w:hAnsi="Calibri Light"/>
      <w:color w:val="2E74B5"/>
      <w:sz w:val="32"/>
      <w:szCs w:val="32"/>
      <w:lang w:val="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E3E"/>
    <w:rPr>
      <w:rFonts w:ascii="Calibri Light" w:eastAsia="Times New Roman" w:hAnsi="Calibri Light" w:cs="Times New Roman"/>
      <w:color w:val="2E74B5"/>
      <w:sz w:val="32"/>
      <w:szCs w:val="32"/>
      <w:lang w:val="en-US" w:bidi="he-IL"/>
    </w:rPr>
  </w:style>
  <w:style w:type="character" w:styleId="Lienhypertexte">
    <w:name w:val="Hyperlink"/>
    <w:uiPriority w:val="99"/>
    <w:unhideWhenUsed/>
    <w:rsid w:val="009B4E3E"/>
    <w:rPr>
      <w:color w:val="0000FF"/>
      <w:u w:val="single"/>
    </w:rPr>
  </w:style>
  <w:style w:type="character" w:customStyle="1" w:styleId="citation-publication-date">
    <w:name w:val="citation-publication-date"/>
    <w:rsid w:val="009B4E3E"/>
  </w:style>
  <w:style w:type="paragraph" w:customStyle="1" w:styleId="m3521337326165807547msolistparagraph">
    <w:name w:val="m_3521337326165807547msolistparagraph"/>
    <w:basedOn w:val="Normal"/>
    <w:rsid w:val="00FF1F22"/>
    <w:pPr>
      <w:spacing w:before="100" w:beforeAutospacing="1" w:after="100" w:afterAutospacing="1" w:line="240" w:lineRule="auto"/>
    </w:pPr>
    <w:rPr>
      <w:rFonts w:ascii="Times New Roman" w:eastAsia="Times New Roman" w:hAnsi="Times New Roman"/>
      <w:sz w:val="24"/>
      <w:szCs w:val="24"/>
      <w:lang w:eastAsia="en-GB"/>
    </w:rPr>
  </w:style>
  <w:style w:type="paragraph" w:styleId="Paragraphedeliste">
    <w:name w:val="List Paragraph"/>
    <w:basedOn w:val="Normal"/>
    <w:uiPriority w:val="34"/>
    <w:qFormat/>
    <w:rsid w:val="00FF1F22"/>
    <w:pPr>
      <w:ind w:left="720"/>
      <w:contextualSpacing/>
    </w:pPr>
  </w:style>
  <w:style w:type="paragraph" w:styleId="NormalWeb">
    <w:name w:val="Normal (Web)"/>
    <w:basedOn w:val="Normal"/>
    <w:uiPriority w:val="99"/>
    <w:unhideWhenUsed/>
    <w:rsid w:val="0036041A"/>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ev">
    <w:name w:val="Strong"/>
    <w:basedOn w:val="Policepardfaut"/>
    <w:uiPriority w:val="22"/>
    <w:qFormat/>
    <w:rsid w:val="0036041A"/>
    <w:rPr>
      <w:b/>
      <w:bCs/>
    </w:rPr>
  </w:style>
  <w:style w:type="paragraph" w:styleId="Bibliographie">
    <w:name w:val="Bibliography"/>
    <w:basedOn w:val="Normal"/>
    <w:next w:val="Normal"/>
    <w:uiPriority w:val="37"/>
    <w:unhideWhenUsed/>
    <w:rsid w:val="00DF1EAB"/>
    <w:pPr>
      <w:spacing w:after="0" w:line="240" w:lineRule="auto"/>
      <w:ind w:left="720" w:hanging="720"/>
    </w:pPr>
  </w:style>
  <w:style w:type="table" w:styleId="TableauGrille1Clair-Accentuation5">
    <w:name w:val="Grid Table 1 Light Accent 5"/>
    <w:basedOn w:val="TableauNormal"/>
    <w:uiPriority w:val="46"/>
    <w:rsid w:val="004E60E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457">
      <w:bodyDiv w:val="1"/>
      <w:marLeft w:val="0"/>
      <w:marRight w:val="0"/>
      <w:marTop w:val="0"/>
      <w:marBottom w:val="0"/>
      <w:divBdr>
        <w:top w:val="none" w:sz="0" w:space="0" w:color="auto"/>
        <w:left w:val="none" w:sz="0" w:space="0" w:color="auto"/>
        <w:bottom w:val="none" w:sz="0" w:space="0" w:color="auto"/>
        <w:right w:val="none" w:sz="0" w:space="0" w:color="auto"/>
      </w:divBdr>
    </w:div>
    <w:div w:id="1201362199">
      <w:bodyDiv w:val="1"/>
      <w:marLeft w:val="0"/>
      <w:marRight w:val="0"/>
      <w:marTop w:val="0"/>
      <w:marBottom w:val="0"/>
      <w:divBdr>
        <w:top w:val="none" w:sz="0" w:space="0" w:color="auto"/>
        <w:left w:val="none" w:sz="0" w:space="0" w:color="auto"/>
        <w:bottom w:val="none" w:sz="0" w:space="0" w:color="auto"/>
        <w:right w:val="none" w:sz="0" w:space="0" w:color="auto"/>
      </w:divBdr>
    </w:div>
    <w:div w:id="16423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2612</Words>
  <Characters>14372</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P.R.</dc:creator>
  <cp:keywords/>
  <dc:description/>
  <cp:lastModifiedBy>ROHAN Pierre-Yves</cp:lastModifiedBy>
  <cp:revision>8</cp:revision>
  <dcterms:created xsi:type="dcterms:W3CDTF">2020-05-21T09:51:00Z</dcterms:created>
  <dcterms:modified xsi:type="dcterms:W3CDTF">2024-06-28T13:50:00Z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id="UctUzjNz"/&gt;&lt;style id="http://www.zotero.org/styles/elsevier-harvard" hasBibliography="1" bibliographyStyleHasBeenSet="1"/&gt;&lt;prefs&gt;&lt;pref name="fieldType" value="Field"/&gt;&lt;/prefs&gt;&lt;/data&gt;</vt:lpwstr>
  </property>
</Properties>
</file>